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rPr>
          <w:rFonts w:ascii="Times New Roman" w:hAnsi="Times New Roman" w:eastAsia="楷体_GB2312"/>
          <w:sz w:val="32"/>
          <w:szCs w:val="32"/>
        </w:rPr>
      </w:pPr>
      <w:r>
        <w:rPr>
          <w:rFonts w:ascii="Times New Roman" w:hAnsi="Times New Roman" w:eastAsia="楷体_GB2312"/>
          <w:sz w:val="32"/>
          <w:szCs w:val="32"/>
        </w:rPr>
        <w:t>广州市第四次全国经济普查公报解读二</w:t>
      </w:r>
    </w:p>
    <w:p>
      <w:pPr>
        <w:widowControl/>
        <w:spacing w:line="600" w:lineRule="exact"/>
        <w:jc w:val="center"/>
        <w:rPr>
          <w:rFonts w:ascii="Times New Roman" w:hAnsi="Times New Roman" w:eastAsia="方正小标宋_GBK"/>
          <w:b/>
          <w:sz w:val="44"/>
          <w:szCs w:val="44"/>
        </w:rPr>
      </w:pPr>
    </w:p>
    <w:p>
      <w:pPr>
        <w:widowControl/>
        <w:spacing w:line="600" w:lineRule="exact"/>
        <w:jc w:val="center"/>
        <w:rPr>
          <w:rFonts w:ascii="Times New Roman" w:hAnsi="Times New Roman" w:eastAsia="方正小标宋_GBK"/>
          <w:sz w:val="44"/>
          <w:szCs w:val="44"/>
        </w:rPr>
      </w:pPr>
    </w:p>
    <w:p>
      <w:pPr>
        <w:widowControl/>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新兴生产性服务业成为吸纳就业新高地</w:t>
      </w:r>
    </w:p>
    <w:p>
      <w:pPr>
        <w:snapToGrid w:val="0"/>
        <w:spacing w:line="600" w:lineRule="exact"/>
        <w:ind w:firstLine="640" w:firstLineChars="200"/>
        <w:rPr>
          <w:rFonts w:ascii="Times New Roman" w:hAnsi="Times New Roman" w:eastAsia="仿宋_GB2312"/>
          <w:kern w:val="0"/>
          <w:sz w:val="32"/>
          <w:szCs w:val="32"/>
        </w:rPr>
      </w:pPr>
    </w:p>
    <w:p>
      <w:pPr>
        <w:snapToGrid w:val="0"/>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第四次全国经济普查结果显示，广州市法人单位从业人员数量持续增加，就业结构不断优化，第三产业吸纳就业能力增强，就业人口逐渐向租赁和商务服务业，信息传输、软件和信息技术服务业</w:t>
      </w:r>
      <w:r>
        <w:rPr>
          <w:rFonts w:ascii="Times New Roman" w:hAnsi="Times New Roman" w:eastAsia="仿宋_GB2312"/>
          <w:sz w:val="32"/>
          <w:szCs w:val="32"/>
        </w:rPr>
        <w:t>，科学研究和技术服务业</w:t>
      </w:r>
      <w:r>
        <w:rPr>
          <w:rFonts w:ascii="Times New Roman" w:hAnsi="Times New Roman" w:eastAsia="仿宋_GB2312"/>
          <w:kern w:val="0"/>
          <w:sz w:val="32"/>
          <w:szCs w:val="32"/>
        </w:rPr>
        <w:t>等新兴生产性服务业聚集。</w:t>
      </w:r>
    </w:p>
    <w:p>
      <w:pPr>
        <w:numPr>
          <w:ilvl w:val="0"/>
          <w:numId w:val="1"/>
        </w:numPr>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第三产业从业人员大幅增长</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rPr>
        <w:t>2018年末，全市第二产业和第三产业法人单位从业人员</w:t>
      </w:r>
      <w:r>
        <w:rPr>
          <w:rFonts w:ascii="Times New Roman" w:hAnsi="Times New Roman" w:eastAsia="仿宋_GB2312"/>
          <w:sz w:val="32"/>
          <w:szCs w:val="32"/>
        </w:rPr>
        <w:t>888.50</w:t>
      </w:r>
      <w:r>
        <w:rPr>
          <w:rFonts w:ascii="Times New Roman" w:hAnsi="Times New Roman" w:eastAsia="仿宋_GB2312"/>
          <w:kern w:val="0"/>
          <w:sz w:val="32"/>
          <w:szCs w:val="32"/>
        </w:rPr>
        <w:t>万人，比2013年末增加</w:t>
      </w:r>
      <w:r>
        <w:rPr>
          <w:rFonts w:ascii="Times New Roman" w:hAnsi="Times New Roman" w:eastAsia="仿宋_GB2312"/>
          <w:sz w:val="32"/>
          <w:szCs w:val="32"/>
        </w:rPr>
        <w:t>209.65</w:t>
      </w:r>
      <w:r>
        <w:rPr>
          <w:rFonts w:ascii="Times New Roman" w:hAnsi="Times New Roman" w:eastAsia="仿宋_GB2312"/>
          <w:kern w:val="0"/>
          <w:sz w:val="32"/>
          <w:szCs w:val="32"/>
        </w:rPr>
        <w:t>万人，增长</w:t>
      </w:r>
      <w:r>
        <w:rPr>
          <w:rFonts w:ascii="Times New Roman" w:hAnsi="Times New Roman" w:eastAsia="仿宋_GB2312"/>
          <w:sz w:val="32"/>
          <w:szCs w:val="32"/>
        </w:rPr>
        <w:t>30.9</w:t>
      </w:r>
      <w:r>
        <w:rPr>
          <w:rFonts w:ascii="Times New Roman" w:hAnsi="Times New Roman" w:eastAsia="仿宋_GB2312"/>
          <w:kern w:val="0"/>
          <w:sz w:val="32"/>
          <w:szCs w:val="32"/>
        </w:rPr>
        <w:t>%。其中：第二产业的从业人员为</w:t>
      </w:r>
      <w:r>
        <w:rPr>
          <w:rFonts w:ascii="Times New Roman" w:hAnsi="Times New Roman" w:eastAsia="仿宋_GB2312"/>
          <w:sz w:val="32"/>
          <w:szCs w:val="32"/>
        </w:rPr>
        <w:t>248.67</w:t>
      </w:r>
      <w:r>
        <w:rPr>
          <w:rFonts w:ascii="Times New Roman" w:hAnsi="Times New Roman" w:eastAsia="仿宋_GB2312"/>
          <w:kern w:val="0"/>
          <w:sz w:val="32"/>
          <w:szCs w:val="32"/>
        </w:rPr>
        <w:t>万人，减少18.24万人，下降</w:t>
      </w:r>
      <w:r>
        <w:rPr>
          <w:rFonts w:ascii="Times New Roman" w:hAnsi="Times New Roman" w:eastAsia="仿宋_GB2312"/>
          <w:sz w:val="32"/>
          <w:szCs w:val="32"/>
        </w:rPr>
        <w:t>6.8</w:t>
      </w:r>
      <w:r>
        <w:rPr>
          <w:rFonts w:ascii="Times New Roman" w:hAnsi="Times New Roman" w:eastAsia="仿宋_GB2312"/>
          <w:kern w:val="0"/>
          <w:sz w:val="32"/>
          <w:szCs w:val="32"/>
        </w:rPr>
        <w:t>%，所占比重由2013年的39.3%下降至2018年的28.0%，下降了</w:t>
      </w:r>
      <w:r>
        <w:rPr>
          <w:rFonts w:ascii="Times New Roman" w:hAnsi="Times New Roman" w:eastAsia="仿宋_GB2312"/>
          <w:sz w:val="32"/>
          <w:szCs w:val="32"/>
        </w:rPr>
        <w:t>11.3个百分点</w:t>
      </w:r>
      <w:r>
        <w:rPr>
          <w:rFonts w:ascii="Times New Roman" w:hAnsi="Times New Roman" w:eastAsia="仿宋_GB2312"/>
          <w:kern w:val="0"/>
          <w:sz w:val="32"/>
          <w:szCs w:val="32"/>
        </w:rPr>
        <w:t>；第三产业的从业人员为</w:t>
      </w:r>
      <w:r>
        <w:rPr>
          <w:rFonts w:ascii="Times New Roman" w:hAnsi="Times New Roman" w:eastAsia="仿宋_GB2312"/>
          <w:sz w:val="32"/>
          <w:szCs w:val="32"/>
        </w:rPr>
        <w:t>639.83</w:t>
      </w:r>
      <w:r>
        <w:rPr>
          <w:rFonts w:ascii="Times New Roman" w:hAnsi="Times New Roman" w:eastAsia="仿宋_GB2312"/>
          <w:kern w:val="0"/>
          <w:sz w:val="32"/>
          <w:szCs w:val="32"/>
        </w:rPr>
        <w:t>万人</w:t>
      </w:r>
      <w:r>
        <w:rPr>
          <w:rFonts w:ascii="Times New Roman" w:hAnsi="Times New Roman" w:eastAsia="仿宋_GB2312"/>
          <w:sz w:val="32"/>
          <w:szCs w:val="32"/>
        </w:rPr>
        <w:t>，增加228.24万人，增长55.5%，所占比重由2013年的60.7%上升至2018年的72.0%，提高了11.</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个百分点。第三产业与第二产业的占比差距进一步拉大。</w:t>
      </w:r>
    </w:p>
    <w:p>
      <w:pPr>
        <w:snapToGrid w:val="0"/>
        <w:spacing w:line="600" w:lineRule="exact"/>
        <w:ind w:firstLine="1687" w:firstLineChars="700"/>
        <w:rPr>
          <w:rFonts w:ascii="Times New Roman" w:hAnsi="Times New Roman"/>
          <w:b/>
          <w:color w:val="333333"/>
          <w:kern w:val="0"/>
          <w:sz w:val="24"/>
        </w:rPr>
      </w:pPr>
    </w:p>
    <w:p>
      <w:pPr>
        <w:snapToGrid w:val="0"/>
        <w:spacing w:line="600" w:lineRule="exact"/>
        <w:ind w:firstLine="1687" w:firstLineChars="700"/>
        <w:rPr>
          <w:rFonts w:ascii="Times New Roman" w:hAnsi="Times New Roman"/>
          <w:b/>
          <w:color w:val="333333"/>
          <w:kern w:val="0"/>
          <w:sz w:val="24"/>
        </w:rPr>
      </w:pPr>
    </w:p>
    <w:p>
      <w:pPr>
        <w:snapToGrid w:val="0"/>
        <w:spacing w:line="600" w:lineRule="exact"/>
        <w:ind w:firstLine="1687" w:firstLineChars="700"/>
        <w:rPr>
          <w:rFonts w:ascii="Times New Roman" w:hAnsi="Times New Roman"/>
          <w:b/>
          <w:color w:val="333333"/>
          <w:kern w:val="0"/>
          <w:sz w:val="24"/>
        </w:rPr>
      </w:pPr>
    </w:p>
    <w:p>
      <w:pPr>
        <w:snapToGrid w:val="0"/>
        <w:spacing w:line="600" w:lineRule="exact"/>
        <w:ind w:firstLine="1687" w:firstLineChars="700"/>
        <w:rPr>
          <w:rFonts w:ascii="Times New Roman" w:hAnsi="Times New Roman"/>
          <w:b/>
          <w:color w:val="333333"/>
          <w:kern w:val="0"/>
          <w:sz w:val="24"/>
        </w:rPr>
      </w:pPr>
    </w:p>
    <w:p>
      <w:pPr>
        <w:snapToGrid w:val="0"/>
        <w:spacing w:line="600" w:lineRule="exact"/>
        <w:ind w:firstLine="1687" w:firstLineChars="700"/>
        <w:rPr>
          <w:rFonts w:ascii="Times New Roman" w:hAnsi="Times New Roman"/>
        </w:rPr>
      </w:pPr>
      <w:r>
        <w:rPr>
          <w:rFonts w:ascii="Times New Roman" w:hAnsi="Times New Roman"/>
          <w:b/>
          <w:color w:val="333333"/>
          <w:kern w:val="0"/>
          <w:sz w:val="24"/>
        </w:rPr>
        <w:t>图1　全市第二、三产业从业人员增长情况</w:t>
      </w:r>
    </w:p>
    <w:p>
      <w:pPr>
        <w:pStyle w:val="2"/>
        <w:ind w:left="0" w:leftChars="0" w:firstLine="0"/>
        <w:rPr>
          <w:rFonts w:ascii="Times New Roman" w:hAnsi="Times New Roman" w:eastAsia="仿宋_GB2312"/>
          <w:sz w:val="32"/>
          <w:szCs w:val="32"/>
        </w:rPr>
      </w:pPr>
      <w:r>
        <w:rPr>
          <w:rFonts w:ascii="Times New Roman" w:hAnsi="Times New Roman"/>
        </w:rPr>
        <w:drawing>
          <wp:inline distT="0" distB="0" distL="0" distR="0">
            <wp:extent cx="5314315" cy="3304540"/>
            <wp:effectExtent l="4445" t="4445" r="15240" b="5715"/>
            <wp:docPr id="5"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二、就业人口逐渐向新兴生产性服务业聚集</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随着我市产业结构的调整优化，法人单位从业人员的产业结构也发生变化。其中：制造业的从业人员176.59万人，虽然数量位居第一，但所占比重由2013年的31.9%下降至19.9%；位居第二的批发和零售业124.26万人，所占比重由2013年的13.4%略微升至14.0</w:t>
      </w:r>
      <w:r>
        <w:rPr>
          <w:rFonts w:ascii="Times New Roman" w:hAnsi="Times New Roman" w:eastAsia="仿宋_GB2312"/>
          <w:kern w:val="0"/>
          <w:sz w:val="32"/>
          <w:szCs w:val="32"/>
        </w:rPr>
        <w:t>%；租赁和商务服务业86.73万人，</w:t>
      </w:r>
      <w:r>
        <w:rPr>
          <w:rFonts w:ascii="Times New Roman" w:hAnsi="Times New Roman" w:eastAsia="仿宋_GB2312"/>
          <w:sz w:val="32"/>
          <w:szCs w:val="32"/>
        </w:rPr>
        <w:t>所占比重由2013年的7.2%上升至9.8%，位居第三。2013年末法人单位从业人员数量位居第三的交通运输、仓储和邮政业近五年减少0.18万人，所占比重由2013年的7.7%下降至5.9%。</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近五年来，以信息传输、软件和信息技术服务业为引领的新兴生产性服务业吸纳就业能力持续走强。与2013年末相比，法人单位从业人员数量增速较快的前三个行业分别是：信息传输、软件和信息技术服务业，增加30.93万人，增长1</w:t>
      </w:r>
      <w:r>
        <w:rPr>
          <w:rFonts w:hint="eastAsia" w:ascii="Times New Roman" w:hAnsi="Times New Roman" w:eastAsia="仿宋_GB2312"/>
          <w:sz w:val="32"/>
          <w:szCs w:val="32"/>
        </w:rPr>
        <w:t>.4倍</w:t>
      </w:r>
      <w:r>
        <w:rPr>
          <w:rFonts w:ascii="Times New Roman" w:hAnsi="Times New Roman" w:eastAsia="仿宋_GB2312"/>
          <w:sz w:val="32"/>
          <w:szCs w:val="32"/>
        </w:rPr>
        <w:t>；科学研究和技术服务业，增加24.00万人，增长1</w:t>
      </w:r>
      <w:r>
        <w:rPr>
          <w:rFonts w:hint="eastAsia" w:ascii="Times New Roman" w:hAnsi="Times New Roman" w:eastAsia="仿宋_GB2312"/>
          <w:sz w:val="32"/>
          <w:szCs w:val="32"/>
        </w:rPr>
        <w:t>.</w:t>
      </w:r>
      <w:r>
        <w:rPr>
          <w:rFonts w:ascii="Times New Roman" w:hAnsi="Times New Roman" w:eastAsia="仿宋_GB2312"/>
          <w:sz w:val="32"/>
          <w:szCs w:val="32"/>
        </w:rPr>
        <w:t>0</w:t>
      </w:r>
      <w:r>
        <w:rPr>
          <w:rFonts w:hint="eastAsia" w:ascii="Times New Roman" w:hAnsi="Times New Roman" w:eastAsia="仿宋_GB2312"/>
          <w:sz w:val="32"/>
          <w:szCs w:val="32"/>
        </w:rPr>
        <w:t>倍</w:t>
      </w:r>
      <w:r>
        <w:rPr>
          <w:rFonts w:ascii="Times New Roman" w:hAnsi="Times New Roman" w:eastAsia="仿宋_GB2312"/>
          <w:sz w:val="32"/>
          <w:szCs w:val="32"/>
        </w:rPr>
        <w:t>；租赁和商务服务业，增加35.03万人，增长67.8%。</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从广州市第四次全国经济普查从业人员情况来看，受广州市“去产能、调结构”政策等因素影响，就业人口逐渐向租赁和商务服务业，信息传输、软件和信息技术服务业，科学研究和技术服务业等新兴生产性服务业聚集。</w:t>
      </w:r>
    </w:p>
    <w:p>
      <w:pPr>
        <w:pStyle w:val="2"/>
        <w:spacing w:line="580" w:lineRule="exact"/>
        <w:ind w:left="0" w:leftChars="0" w:firstLine="0"/>
        <w:jc w:val="center"/>
        <w:rPr>
          <w:rStyle w:val="5"/>
          <w:rFonts w:hint="default" w:ascii="Times New Roman" w:hAnsi="Times New Roman" w:cs="Times New Roman"/>
        </w:rPr>
      </w:pPr>
      <w:r>
        <w:rPr>
          <w:rStyle w:val="5"/>
          <w:rFonts w:hint="default" w:ascii="Times New Roman" w:hAnsi="Times New Roman" w:cs="Times New Roman"/>
        </w:rPr>
        <w:t xml:space="preserve"> 表1 按行业门类分组的法人单位从业人员</w:t>
      </w:r>
    </w:p>
    <w:tbl>
      <w:tblPr>
        <w:tblStyle w:val="3"/>
        <w:tblW w:w="0" w:type="auto"/>
        <w:tblInd w:w="-167" w:type="dxa"/>
        <w:tblLayout w:type="fixed"/>
        <w:tblCellMar>
          <w:top w:w="15" w:type="dxa"/>
          <w:left w:w="15" w:type="dxa"/>
          <w:bottom w:w="15" w:type="dxa"/>
          <w:right w:w="15" w:type="dxa"/>
        </w:tblCellMar>
      </w:tblPr>
      <w:tblGrid>
        <w:gridCol w:w="3450"/>
        <w:gridCol w:w="1305"/>
        <w:gridCol w:w="1275"/>
        <w:gridCol w:w="1380"/>
        <w:gridCol w:w="1185"/>
      </w:tblGrid>
      <w:tr>
        <w:tblPrEx>
          <w:tblCellMar>
            <w:top w:w="15" w:type="dxa"/>
            <w:left w:w="15" w:type="dxa"/>
            <w:bottom w:w="15" w:type="dxa"/>
            <w:right w:w="15" w:type="dxa"/>
          </w:tblCellMar>
        </w:tblPrEx>
        <w:trPr>
          <w:trHeight w:val="540" w:hRule="atLeast"/>
        </w:trPr>
        <w:tc>
          <w:tcPr>
            <w:tcW w:w="3450" w:type="dxa"/>
            <w:vMerge w:val="restart"/>
            <w:tcBorders>
              <w:top w:val="single" w:color="000000" w:sz="4" w:space="0"/>
              <w:bottom w:val="single" w:color="000000" w:sz="4" w:space="0"/>
              <w:right w:val="single" w:color="000000" w:sz="4" w:space="0"/>
            </w:tcBorders>
            <w:vAlign w:val="center"/>
          </w:tcPr>
          <w:p>
            <w:pPr>
              <w:rPr>
                <w:rFonts w:ascii="Times New Roman" w:hAnsi="Times New Roman"/>
                <w:color w:val="000000"/>
                <w:sz w:val="22"/>
                <w:szCs w:val="22"/>
              </w:rPr>
            </w:pPr>
          </w:p>
        </w:tc>
        <w:tc>
          <w:tcPr>
            <w:tcW w:w="13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color w:val="000000"/>
                <w:szCs w:val="21"/>
              </w:rPr>
            </w:pPr>
            <w:r>
              <w:rPr>
                <w:rFonts w:ascii="Times New Roman" w:hAnsi="Times New Roman"/>
                <w:b/>
                <w:color w:val="000000"/>
                <w:kern w:val="0"/>
                <w:szCs w:val="21"/>
              </w:rPr>
              <w:t>法人单位</w:t>
            </w:r>
            <w:r>
              <w:rPr>
                <w:rStyle w:val="6"/>
              </w:rPr>
              <w:br w:type="textWrapping"/>
            </w:r>
            <w:r>
              <w:rPr>
                <w:rStyle w:val="7"/>
                <w:rFonts w:hint="default" w:ascii="Times New Roman" w:hAnsi="Times New Roman" w:cs="Times New Roman"/>
              </w:rPr>
              <w:t>从业人员</w:t>
            </w:r>
            <w:r>
              <w:rPr>
                <w:rStyle w:val="6"/>
              </w:rPr>
              <w:br w:type="textWrapping"/>
            </w:r>
            <w:r>
              <w:rPr>
                <w:rStyle w:val="7"/>
                <w:rFonts w:hint="default" w:ascii="Times New Roman" w:hAnsi="Times New Roman" w:cs="Times New Roman"/>
              </w:rPr>
              <w:t>（万人）</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color w:val="000000"/>
                <w:kern w:val="0"/>
                <w:szCs w:val="21"/>
              </w:rPr>
            </w:pPr>
            <w:r>
              <w:rPr>
                <w:rFonts w:ascii="Times New Roman" w:hAnsi="Times New Roman"/>
                <w:b/>
                <w:color w:val="000000"/>
                <w:kern w:val="0"/>
                <w:szCs w:val="21"/>
              </w:rPr>
              <w:t>比重</w:t>
            </w:r>
          </w:p>
          <w:p>
            <w:pPr>
              <w:widowControl/>
              <w:jc w:val="center"/>
              <w:textAlignment w:val="center"/>
              <w:rPr>
                <w:rFonts w:ascii="Times New Roman" w:hAnsi="Times New Roman"/>
                <w:b/>
                <w:color w:val="000000"/>
                <w:szCs w:val="21"/>
              </w:rPr>
            </w:pPr>
            <w:r>
              <w:rPr>
                <w:rFonts w:ascii="Times New Roman" w:hAnsi="Times New Roman"/>
                <w:b/>
                <w:color w:val="000000"/>
                <w:kern w:val="0"/>
                <w:szCs w:val="21"/>
              </w:rPr>
              <w:t>（</w:t>
            </w:r>
            <w:r>
              <w:rPr>
                <w:rStyle w:val="6"/>
              </w:rPr>
              <w:t>%</w:t>
            </w:r>
            <w:r>
              <w:rPr>
                <w:rStyle w:val="7"/>
                <w:rFonts w:hint="default" w:ascii="Times New Roman" w:hAnsi="Times New Roman" w:cs="Times New Roman"/>
              </w:rPr>
              <w:t>）</w:t>
            </w:r>
          </w:p>
        </w:tc>
        <w:tc>
          <w:tcPr>
            <w:tcW w:w="13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7"/>
                <w:rFonts w:hint="default" w:ascii="Times New Roman" w:hAnsi="Times New Roman" w:cs="Times New Roman"/>
              </w:rPr>
            </w:pPr>
            <w:r>
              <w:rPr>
                <w:rStyle w:val="7"/>
                <w:rFonts w:hint="default" w:ascii="Times New Roman" w:hAnsi="Times New Roman" w:cs="Times New Roman"/>
              </w:rPr>
              <w:t>比2013年</w:t>
            </w:r>
          </w:p>
          <w:p>
            <w:pPr>
              <w:widowControl/>
              <w:jc w:val="center"/>
              <w:textAlignment w:val="center"/>
              <w:rPr>
                <w:rStyle w:val="7"/>
                <w:rFonts w:hint="default" w:ascii="Times New Roman" w:hAnsi="Times New Roman" w:cs="Times New Roman"/>
              </w:rPr>
            </w:pPr>
            <w:r>
              <w:rPr>
                <w:rStyle w:val="7"/>
                <w:rFonts w:hint="default" w:ascii="Times New Roman" w:hAnsi="Times New Roman" w:cs="Times New Roman"/>
              </w:rPr>
              <w:t>增加</w:t>
            </w:r>
          </w:p>
          <w:p>
            <w:pPr>
              <w:widowControl/>
              <w:jc w:val="center"/>
              <w:textAlignment w:val="center"/>
              <w:rPr>
                <w:rStyle w:val="7"/>
                <w:rFonts w:hint="default" w:ascii="Times New Roman" w:hAnsi="Times New Roman" w:cs="Times New Roman"/>
              </w:rPr>
            </w:pPr>
            <w:r>
              <w:rPr>
                <w:rStyle w:val="7"/>
                <w:rFonts w:hint="default" w:ascii="Times New Roman" w:hAnsi="Times New Roman" w:cs="Times New Roman"/>
              </w:rPr>
              <w:t>（万人）</w:t>
            </w:r>
          </w:p>
        </w:tc>
        <w:tc>
          <w:tcPr>
            <w:tcW w:w="1185" w:type="dxa"/>
            <w:vMerge w:val="restart"/>
            <w:tcBorders>
              <w:top w:val="single" w:color="000000" w:sz="4" w:space="0"/>
              <w:left w:val="single" w:color="000000" w:sz="4" w:space="0"/>
              <w:bottom w:val="single" w:color="000000" w:sz="4" w:space="0"/>
            </w:tcBorders>
            <w:vAlign w:val="center"/>
          </w:tcPr>
          <w:p>
            <w:pPr>
              <w:widowControl/>
              <w:jc w:val="center"/>
              <w:textAlignment w:val="center"/>
              <w:rPr>
                <w:rStyle w:val="7"/>
                <w:rFonts w:hint="default" w:ascii="Times New Roman" w:hAnsi="Times New Roman" w:cs="Times New Roman"/>
              </w:rPr>
            </w:pPr>
            <w:r>
              <w:rPr>
                <w:rStyle w:val="7"/>
                <w:rFonts w:hint="default" w:ascii="Times New Roman" w:hAnsi="Times New Roman" w:cs="Times New Roman"/>
              </w:rPr>
              <w:t>比2013年</w:t>
            </w:r>
          </w:p>
          <w:p>
            <w:pPr>
              <w:widowControl/>
              <w:jc w:val="center"/>
              <w:textAlignment w:val="center"/>
              <w:rPr>
                <w:rStyle w:val="7"/>
                <w:rFonts w:hint="default" w:ascii="Times New Roman" w:hAnsi="Times New Roman" w:cs="Times New Roman"/>
              </w:rPr>
            </w:pPr>
            <w:r>
              <w:rPr>
                <w:rStyle w:val="7"/>
                <w:rFonts w:hint="default" w:ascii="Times New Roman" w:hAnsi="Times New Roman" w:cs="Times New Roman"/>
              </w:rPr>
              <w:t>增长（%）</w:t>
            </w:r>
          </w:p>
        </w:tc>
      </w:tr>
      <w:tr>
        <w:tblPrEx>
          <w:tblCellMar>
            <w:top w:w="15" w:type="dxa"/>
            <w:left w:w="15" w:type="dxa"/>
            <w:bottom w:w="15" w:type="dxa"/>
            <w:right w:w="15" w:type="dxa"/>
          </w:tblCellMar>
        </w:tblPrEx>
        <w:trPr>
          <w:trHeight w:val="312" w:hRule="atLeast"/>
        </w:trPr>
        <w:tc>
          <w:tcPr>
            <w:tcW w:w="3450" w:type="dxa"/>
            <w:vMerge w:val="continue"/>
            <w:tcBorders>
              <w:top w:val="single" w:color="000000" w:sz="4" w:space="0"/>
              <w:bottom w:val="single" w:color="000000" w:sz="4" w:space="0"/>
              <w:right w:val="single" w:color="000000" w:sz="4" w:space="0"/>
            </w:tcBorders>
            <w:vAlign w:val="center"/>
          </w:tcPr>
          <w:p>
            <w:pPr>
              <w:rPr>
                <w:rFonts w:ascii="Times New Roman" w:hAnsi="Times New Roman"/>
                <w:color w:val="000000"/>
                <w:sz w:val="22"/>
                <w:szCs w:val="22"/>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b/>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b/>
                <w:color w:val="000000"/>
                <w:szCs w:val="21"/>
              </w:rPr>
            </w:pPr>
          </w:p>
        </w:tc>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szCs w:val="22"/>
              </w:rPr>
            </w:pPr>
          </w:p>
        </w:tc>
        <w:tc>
          <w:tcPr>
            <w:tcW w:w="1185" w:type="dxa"/>
            <w:vMerge w:val="continue"/>
            <w:tcBorders>
              <w:top w:val="single" w:color="000000" w:sz="4" w:space="0"/>
              <w:left w:val="single" w:color="000000" w:sz="4" w:space="0"/>
              <w:bottom w:val="single" w:color="000000" w:sz="4" w:space="0"/>
            </w:tcBorders>
            <w:vAlign w:val="center"/>
          </w:tcPr>
          <w:p>
            <w:pPr>
              <w:jc w:val="center"/>
              <w:rPr>
                <w:rFonts w:ascii="Times New Roman" w:hAnsi="Times New Roman"/>
                <w:color w:val="000000"/>
                <w:sz w:val="22"/>
                <w:szCs w:val="22"/>
              </w:rPr>
            </w:pPr>
          </w:p>
        </w:tc>
      </w:tr>
      <w:tr>
        <w:tblPrEx>
          <w:tblCellMar>
            <w:top w:w="15" w:type="dxa"/>
            <w:left w:w="15" w:type="dxa"/>
            <w:bottom w:w="15" w:type="dxa"/>
            <w:right w:w="15" w:type="dxa"/>
          </w:tblCellMar>
        </w:tblPrEx>
        <w:trPr>
          <w:trHeight w:val="312" w:hRule="atLeast"/>
        </w:trPr>
        <w:tc>
          <w:tcPr>
            <w:tcW w:w="3450" w:type="dxa"/>
            <w:vMerge w:val="continue"/>
            <w:tcBorders>
              <w:top w:val="single" w:color="000000" w:sz="4" w:space="0"/>
              <w:bottom w:val="single" w:color="000000" w:sz="4" w:space="0"/>
              <w:right w:val="single" w:color="000000" w:sz="4" w:space="0"/>
            </w:tcBorders>
            <w:vAlign w:val="center"/>
          </w:tcPr>
          <w:p>
            <w:pPr>
              <w:rPr>
                <w:rFonts w:ascii="Times New Roman" w:hAnsi="Times New Roman"/>
                <w:color w:val="000000"/>
                <w:sz w:val="22"/>
                <w:szCs w:val="22"/>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b/>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b/>
                <w:color w:val="000000"/>
                <w:szCs w:val="21"/>
              </w:rPr>
            </w:pPr>
          </w:p>
        </w:tc>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szCs w:val="22"/>
              </w:rPr>
            </w:pPr>
          </w:p>
        </w:tc>
        <w:tc>
          <w:tcPr>
            <w:tcW w:w="1185" w:type="dxa"/>
            <w:vMerge w:val="continue"/>
            <w:tcBorders>
              <w:top w:val="single" w:color="000000" w:sz="4" w:space="0"/>
              <w:left w:val="single" w:color="000000" w:sz="4" w:space="0"/>
              <w:bottom w:val="single" w:color="000000" w:sz="4" w:space="0"/>
            </w:tcBorders>
            <w:vAlign w:val="center"/>
          </w:tcPr>
          <w:p>
            <w:pPr>
              <w:jc w:val="center"/>
              <w:rPr>
                <w:rFonts w:ascii="Times New Roman" w:hAnsi="Times New Roman"/>
                <w:color w:val="000000"/>
                <w:sz w:val="22"/>
                <w:szCs w:val="22"/>
              </w:rPr>
            </w:pPr>
          </w:p>
        </w:tc>
      </w:tr>
      <w:tr>
        <w:tblPrEx>
          <w:tblCellMar>
            <w:top w:w="15" w:type="dxa"/>
            <w:left w:w="15" w:type="dxa"/>
            <w:bottom w:w="15" w:type="dxa"/>
            <w:right w:w="15" w:type="dxa"/>
          </w:tblCellMar>
        </w:tblPrEx>
        <w:trPr>
          <w:trHeight w:val="380" w:hRule="atLeast"/>
        </w:trPr>
        <w:tc>
          <w:tcPr>
            <w:tcW w:w="3450" w:type="dxa"/>
            <w:tcBorders>
              <w:top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color w:val="000000"/>
                <w:kern w:val="0"/>
                <w:szCs w:val="21"/>
              </w:rPr>
            </w:pPr>
            <w:r>
              <w:rPr>
                <w:rFonts w:ascii="Times New Roman" w:hAnsi="Times New Roman"/>
                <w:b/>
                <w:color w:val="000000"/>
                <w:kern w:val="0"/>
                <w:szCs w:val="21"/>
              </w:rPr>
              <w:t>合　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b/>
                <w:color w:val="000000"/>
                <w:kern w:val="0"/>
                <w:szCs w:val="21"/>
              </w:rPr>
            </w:pPr>
            <w:r>
              <w:rPr>
                <w:rFonts w:ascii="Times New Roman" w:hAnsi="Times New Roman"/>
                <w:b/>
                <w:color w:val="000000"/>
                <w:kern w:val="0"/>
                <w:szCs w:val="21"/>
              </w:rPr>
              <w:t>888.50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b/>
                <w:color w:val="000000"/>
                <w:kern w:val="0"/>
                <w:szCs w:val="21"/>
              </w:rPr>
            </w:pPr>
            <w:r>
              <w:rPr>
                <w:rFonts w:ascii="Times New Roman" w:hAnsi="Times New Roman"/>
                <w:b/>
                <w:color w:val="000000"/>
                <w:kern w:val="0"/>
                <w:szCs w:val="21"/>
              </w:rPr>
              <w:t>100.0</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b/>
                <w:color w:val="000000"/>
                <w:kern w:val="0"/>
                <w:szCs w:val="21"/>
              </w:rPr>
            </w:pPr>
            <w:r>
              <w:rPr>
                <w:rFonts w:ascii="Times New Roman" w:hAnsi="Times New Roman"/>
                <w:b/>
                <w:color w:val="000000"/>
                <w:kern w:val="0"/>
                <w:szCs w:val="21"/>
              </w:rPr>
              <w:t xml:space="preserve">209.65 </w:t>
            </w:r>
          </w:p>
        </w:tc>
        <w:tc>
          <w:tcPr>
            <w:tcW w:w="1185" w:type="dxa"/>
            <w:tcBorders>
              <w:top w:val="single" w:color="000000" w:sz="4" w:space="0"/>
              <w:left w:val="single" w:color="000000" w:sz="4" w:space="0"/>
              <w:bottom w:val="single" w:color="000000" w:sz="4" w:space="0"/>
            </w:tcBorders>
          </w:tcPr>
          <w:p>
            <w:pPr>
              <w:widowControl/>
              <w:jc w:val="right"/>
              <w:textAlignment w:val="top"/>
              <w:rPr>
                <w:rFonts w:ascii="Times New Roman" w:hAnsi="Times New Roman"/>
                <w:bCs/>
                <w:color w:val="000000"/>
                <w:kern w:val="0"/>
                <w:sz w:val="22"/>
                <w:szCs w:val="22"/>
              </w:rPr>
            </w:pPr>
            <w:r>
              <w:rPr>
                <w:rFonts w:ascii="Times New Roman" w:hAnsi="Times New Roman"/>
                <w:bCs/>
                <w:color w:val="000000"/>
                <w:kern w:val="0"/>
                <w:sz w:val="22"/>
                <w:szCs w:val="22"/>
              </w:rPr>
              <w:t>30.9</w:t>
            </w:r>
          </w:p>
        </w:tc>
      </w:tr>
      <w:tr>
        <w:tblPrEx>
          <w:tblCellMar>
            <w:top w:w="15" w:type="dxa"/>
            <w:left w:w="15" w:type="dxa"/>
            <w:bottom w:w="15" w:type="dxa"/>
            <w:right w:w="15" w:type="dxa"/>
          </w:tblCellMar>
        </w:tblPrEx>
        <w:trPr>
          <w:trHeight w:val="380" w:hRule="atLeast"/>
        </w:trPr>
        <w:tc>
          <w:tcPr>
            <w:tcW w:w="3450" w:type="dxa"/>
            <w:tcBorders>
              <w:top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Cs w:val="21"/>
              </w:rPr>
            </w:pPr>
            <w:r>
              <w:rPr>
                <w:rFonts w:ascii="Times New Roman" w:hAnsi="Times New Roman"/>
                <w:color w:val="000000"/>
                <w:kern w:val="0"/>
                <w:szCs w:val="21"/>
              </w:rPr>
              <w:t>采矿业</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top"/>
              <w:rPr>
                <w:rFonts w:ascii="Times New Roman" w:hAnsi="Times New Roman"/>
                <w:color w:val="000000"/>
                <w:sz w:val="22"/>
                <w:szCs w:val="22"/>
              </w:rPr>
            </w:pPr>
            <w:r>
              <w:rPr>
                <w:rFonts w:ascii="Times New Roman" w:hAnsi="Times New Roman"/>
                <w:color w:val="000000"/>
                <w:kern w:val="0"/>
                <w:sz w:val="22"/>
                <w:szCs w:val="22"/>
              </w:rPr>
              <w:t>0.03</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top"/>
              <w:rPr>
                <w:rFonts w:ascii="Times New Roman" w:hAnsi="Times New Roman"/>
                <w:bCs/>
                <w:color w:val="000000"/>
                <w:sz w:val="22"/>
                <w:szCs w:val="22"/>
              </w:rPr>
            </w:pPr>
            <w:r>
              <w:rPr>
                <w:rFonts w:ascii="Times New Roman" w:hAnsi="Times New Roman"/>
                <w:bCs/>
                <w:color w:val="000000"/>
                <w:kern w:val="0"/>
                <w:sz w:val="22"/>
                <w:szCs w:val="22"/>
              </w:rPr>
              <w:t>0.0</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top"/>
              <w:rPr>
                <w:rFonts w:ascii="Times New Roman" w:hAnsi="Times New Roman"/>
                <w:bCs/>
                <w:color w:val="000000"/>
                <w:sz w:val="22"/>
                <w:szCs w:val="22"/>
              </w:rPr>
            </w:pPr>
            <w:r>
              <w:rPr>
                <w:rFonts w:ascii="Times New Roman" w:hAnsi="Times New Roman"/>
                <w:bCs/>
                <w:color w:val="000000"/>
                <w:kern w:val="0"/>
                <w:sz w:val="22"/>
                <w:szCs w:val="22"/>
              </w:rPr>
              <w:t xml:space="preserve">-0.04 </w:t>
            </w:r>
          </w:p>
        </w:tc>
        <w:tc>
          <w:tcPr>
            <w:tcW w:w="1185" w:type="dxa"/>
            <w:tcBorders>
              <w:top w:val="single" w:color="000000" w:sz="4" w:space="0"/>
              <w:left w:val="single" w:color="000000" w:sz="4" w:space="0"/>
              <w:bottom w:val="single" w:color="000000" w:sz="4" w:space="0"/>
            </w:tcBorders>
          </w:tcPr>
          <w:p>
            <w:pPr>
              <w:widowControl/>
              <w:jc w:val="right"/>
              <w:textAlignment w:val="top"/>
              <w:rPr>
                <w:rFonts w:ascii="Times New Roman" w:hAnsi="Times New Roman"/>
                <w:bCs/>
                <w:color w:val="000000"/>
                <w:kern w:val="0"/>
                <w:sz w:val="22"/>
                <w:szCs w:val="22"/>
              </w:rPr>
            </w:pPr>
            <w:r>
              <w:rPr>
                <w:rFonts w:ascii="Times New Roman" w:hAnsi="Times New Roman"/>
                <w:bCs/>
                <w:color w:val="000000"/>
                <w:kern w:val="0"/>
                <w:sz w:val="22"/>
                <w:szCs w:val="22"/>
              </w:rPr>
              <w:t>-59.5</w:t>
            </w:r>
          </w:p>
        </w:tc>
      </w:tr>
      <w:tr>
        <w:tblPrEx>
          <w:tblCellMar>
            <w:top w:w="15" w:type="dxa"/>
            <w:left w:w="15" w:type="dxa"/>
            <w:bottom w:w="15" w:type="dxa"/>
            <w:right w:w="15" w:type="dxa"/>
          </w:tblCellMar>
        </w:tblPrEx>
        <w:trPr>
          <w:trHeight w:val="380" w:hRule="atLeast"/>
        </w:trPr>
        <w:tc>
          <w:tcPr>
            <w:tcW w:w="3450" w:type="dxa"/>
            <w:tcBorders>
              <w:top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Cs w:val="21"/>
              </w:rPr>
            </w:pPr>
            <w:r>
              <w:rPr>
                <w:rFonts w:ascii="Times New Roman" w:hAnsi="Times New Roman"/>
                <w:color w:val="000000"/>
                <w:kern w:val="0"/>
                <w:szCs w:val="21"/>
              </w:rPr>
              <w:t>制造业</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top"/>
              <w:rPr>
                <w:rFonts w:ascii="Times New Roman" w:hAnsi="Times New Roman"/>
                <w:color w:val="000000"/>
                <w:sz w:val="22"/>
                <w:szCs w:val="22"/>
              </w:rPr>
            </w:pPr>
            <w:r>
              <w:rPr>
                <w:rFonts w:ascii="Times New Roman" w:hAnsi="Times New Roman"/>
                <w:color w:val="000000"/>
                <w:kern w:val="0"/>
                <w:sz w:val="22"/>
                <w:szCs w:val="22"/>
              </w:rPr>
              <w:t>176.59</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top"/>
              <w:rPr>
                <w:rFonts w:ascii="Times New Roman" w:hAnsi="Times New Roman"/>
                <w:bCs/>
                <w:color w:val="000000"/>
                <w:sz w:val="22"/>
                <w:szCs w:val="22"/>
              </w:rPr>
            </w:pPr>
            <w:r>
              <w:rPr>
                <w:rFonts w:ascii="Times New Roman" w:hAnsi="Times New Roman"/>
                <w:bCs/>
                <w:color w:val="000000"/>
                <w:kern w:val="0"/>
                <w:sz w:val="22"/>
                <w:szCs w:val="22"/>
              </w:rPr>
              <w:t>19.9</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top"/>
              <w:rPr>
                <w:rFonts w:ascii="Times New Roman" w:hAnsi="Times New Roman"/>
                <w:bCs/>
                <w:color w:val="000000"/>
                <w:sz w:val="22"/>
                <w:szCs w:val="22"/>
              </w:rPr>
            </w:pPr>
            <w:r>
              <w:rPr>
                <w:rFonts w:ascii="Times New Roman" w:hAnsi="Times New Roman"/>
                <w:bCs/>
                <w:color w:val="000000"/>
                <w:kern w:val="0"/>
                <w:sz w:val="22"/>
                <w:szCs w:val="22"/>
              </w:rPr>
              <w:t xml:space="preserve">-40.15 </w:t>
            </w:r>
          </w:p>
        </w:tc>
        <w:tc>
          <w:tcPr>
            <w:tcW w:w="1185" w:type="dxa"/>
            <w:tcBorders>
              <w:top w:val="single" w:color="000000" w:sz="4" w:space="0"/>
              <w:left w:val="single" w:color="000000" w:sz="4" w:space="0"/>
              <w:bottom w:val="single" w:color="000000" w:sz="4" w:space="0"/>
            </w:tcBorders>
          </w:tcPr>
          <w:p>
            <w:pPr>
              <w:widowControl/>
              <w:jc w:val="right"/>
              <w:textAlignment w:val="top"/>
              <w:rPr>
                <w:rFonts w:ascii="Times New Roman" w:hAnsi="Times New Roman"/>
                <w:bCs/>
                <w:color w:val="000000"/>
                <w:kern w:val="0"/>
                <w:sz w:val="22"/>
                <w:szCs w:val="22"/>
              </w:rPr>
            </w:pPr>
            <w:r>
              <w:rPr>
                <w:rFonts w:ascii="Times New Roman" w:hAnsi="Times New Roman"/>
                <w:bCs/>
                <w:color w:val="000000"/>
                <w:kern w:val="0"/>
                <w:sz w:val="22"/>
                <w:szCs w:val="22"/>
              </w:rPr>
              <w:t>-18.5</w:t>
            </w:r>
          </w:p>
        </w:tc>
      </w:tr>
      <w:tr>
        <w:tblPrEx>
          <w:tblCellMar>
            <w:top w:w="15" w:type="dxa"/>
            <w:left w:w="15" w:type="dxa"/>
            <w:bottom w:w="15" w:type="dxa"/>
            <w:right w:w="15" w:type="dxa"/>
          </w:tblCellMar>
        </w:tblPrEx>
        <w:trPr>
          <w:trHeight w:val="380" w:hRule="atLeast"/>
        </w:trPr>
        <w:tc>
          <w:tcPr>
            <w:tcW w:w="3450" w:type="dxa"/>
            <w:tcBorders>
              <w:top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Cs w:val="21"/>
              </w:rPr>
            </w:pPr>
            <w:r>
              <w:rPr>
                <w:rFonts w:ascii="Times New Roman" w:hAnsi="Times New Roman"/>
                <w:color w:val="000000"/>
                <w:kern w:val="0"/>
                <w:szCs w:val="21"/>
              </w:rPr>
              <w:t>电力、热力、燃气及水生产和供应业</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top"/>
              <w:rPr>
                <w:rFonts w:ascii="Times New Roman" w:hAnsi="Times New Roman"/>
                <w:color w:val="000000"/>
                <w:sz w:val="22"/>
                <w:szCs w:val="22"/>
              </w:rPr>
            </w:pPr>
            <w:r>
              <w:rPr>
                <w:rFonts w:ascii="Times New Roman" w:hAnsi="Times New Roman"/>
                <w:color w:val="000000"/>
                <w:kern w:val="0"/>
                <w:sz w:val="22"/>
                <w:szCs w:val="22"/>
              </w:rPr>
              <w:t>4.04</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top"/>
              <w:rPr>
                <w:rFonts w:ascii="Times New Roman" w:hAnsi="Times New Roman"/>
                <w:bCs/>
                <w:color w:val="000000"/>
                <w:sz w:val="22"/>
                <w:szCs w:val="22"/>
              </w:rPr>
            </w:pPr>
            <w:r>
              <w:rPr>
                <w:rFonts w:ascii="Times New Roman" w:hAnsi="Times New Roman"/>
                <w:bCs/>
                <w:color w:val="000000"/>
                <w:kern w:val="0"/>
                <w:sz w:val="22"/>
                <w:szCs w:val="22"/>
              </w:rPr>
              <w:t>0.5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top"/>
              <w:rPr>
                <w:rFonts w:ascii="Times New Roman" w:hAnsi="Times New Roman"/>
                <w:bCs/>
                <w:color w:val="000000"/>
                <w:sz w:val="22"/>
                <w:szCs w:val="22"/>
              </w:rPr>
            </w:pPr>
            <w:r>
              <w:rPr>
                <w:rFonts w:ascii="Times New Roman" w:hAnsi="Times New Roman"/>
                <w:bCs/>
                <w:color w:val="000000"/>
                <w:kern w:val="0"/>
                <w:sz w:val="22"/>
                <w:szCs w:val="22"/>
              </w:rPr>
              <w:t xml:space="preserve">0.17 </w:t>
            </w:r>
          </w:p>
        </w:tc>
        <w:tc>
          <w:tcPr>
            <w:tcW w:w="1185" w:type="dxa"/>
            <w:tcBorders>
              <w:top w:val="single" w:color="000000" w:sz="4" w:space="0"/>
              <w:left w:val="single" w:color="000000" w:sz="4" w:space="0"/>
              <w:bottom w:val="single" w:color="000000" w:sz="4" w:space="0"/>
            </w:tcBorders>
          </w:tcPr>
          <w:p>
            <w:pPr>
              <w:widowControl/>
              <w:jc w:val="right"/>
              <w:textAlignment w:val="top"/>
              <w:rPr>
                <w:rFonts w:ascii="Times New Roman" w:hAnsi="Times New Roman"/>
                <w:color w:val="000000"/>
                <w:sz w:val="22"/>
                <w:szCs w:val="22"/>
              </w:rPr>
            </w:pPr>
            <w:r>
              <w:rPr>
                <w:rFonts w:ascii="Times New Roman" w:hAnsi="Times New Roman"/>
                <w:color w:val="000000"/>
                <w:kern w:val="0"/>
                <w:sz w:val="22"/>
                <w:szCs w:val="22"/>
              </w:rPr>
              <w:t>4.4</w:t>
            </w:r>
          </w:p>
        </w:tc>
      </w:tr>
      <w:tr>
        <w:tblPrEx>
          <w:tblCellMar>
            <w:top w:w="15" w:type="dxa"/>
            <w:left w:w="15" w:type="dxa"/>
            <w:bottom w:w="15" w:type="dxa"/>
            <w:right w:w="15" w:type="dxa"/>
          </w:tblCellMar>
        </w:tblPrEx>
        <w:trPr>
          <w:trHeight w:val="380" w:hRule="atLeast"/>
        </w:trPr>
        <w:tc>
          <w:tcPr>
            <w:tcW w:w="3450" w:type="dxa"/>
            <w:tcBorders>
              <w:top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Cs w:val="21"/>
              </w:rPr>
            </w:pPr>
            <w:r>
              <w:rPr>
                <w:rFonts w:ascii="Times New Roman" w:hAnsi="Times New Roman"/>
                <w:color w:val="000000"/>
                <w:kern w:val="0"/>
                <w:szCs w:val="21"/>
              </w:rPr>
              <w:t>建筑业</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top"/>
              <w:rPr>
                <w:rFonts w:ascii="Times New Roman" w:hAnsi="Times New Roman"/>
                <w:color w:val="000000"/>
                <w:sz w:val="22"/>
                <w:szCs w:val="22"/>
              </w:rPr>
            </w:pPr>
            <w:r>
              <w:rPr>
                <w:rFonts w:ascii="Times New Roman" w:hAnsi="Times New Roman"/>
                <w:color w:val="000000"/>
                <w:kern w:val="0"/>
                <w:sz w:val="22"/>
                <w:szCs w:val="22"/>
              </w:rPr>
              <w:t>70.06</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top"/>
              <w:rPr>
                <w:rFonts w:ascii="Times New Roman" w:hAnsi="Times New Roman"/>
                <w:bCs/>
                <w:color w:val="000000"/>
                <w:sz w:val="22"/>
                <w:szCs w:val="22"/>
              </w:rPr>
            </w:pPr>
            <w:r>
              <w:rPr>
                <w:rFonts w:ascii="Times New Roman" w:hAnsi="Times New Roman"/>
                <w:bCs/>
                <w:color w:val="000000"/>
                <w:kern w:val="0"/>
                <w:sz w:val="22"/>
                <w:szCs w:val="22"/>
              </w:rPr>
              <w:t>7.9</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top"/>
              <w:rPr>
                <w:rFonts w:ascii="Times New Roman" w:hAnsi="Times New Roman"/>
                <w:bCs/>
                <w:color w:val="000000"/>
                <w:sz w:val="22"/>
                <w:szCs w:val="22"/>
              </w:rPr>
            </w:pPr>
            <w:r>
              <w:rPr>
                <w:rFonts w:ascii="Times New Roman" w:hAnsi="Times New Roman"/>
                <w:bCs/>
                <w:color w:val="000000"/>
                <w:kern w:val="0"/>
                <w:sz w:val="22"/>
                <w:szCs w:val="22"/>
              </w:rPr>
              <w:t xml:space="preserve">22.10 </w:t>
            </w:r>
          </w:p>
        </w:tc>
        <w:tc>
          <w:tcPr>
            <w:tcW w:w="1185" w:type="dxa"/>
            <w:tcBorders>
              <w:top w:val="single" w:color="000000" w:sz="4" w:space="0"/>
              <w:left w:val="single" w:color="000000" w:sz="4" w:space="0"/>
              <w:bottom w:val="single" w:color="000000" w:sz="4" w:space="0"/>
            </w:tcBorders>
          </w:tcPr>
          <w:p>
            <w:pPr>
              <w:widowControl/>
              <w:jc w:val="right"/>
              <w:textAlignment w:val="top"/>
              <w:rPr>
                <w:rFonts w:ascii="Times New Roman" w:hAnsi="Times New Roman"/>
                <w:color w:val="000000"/>
                <w:sz w:val="22"/>
                <w:szCs w:val="22"/>
              </w:rPr>
            </w:pPr>
            <w:r>
              <w:rPr>
                <w:rFonts w:ascii="Times New Roman" w:hAnsi="Times New Roman"/>
                <w:color w:val="000000"/>
                <w:kern w:val="0"/>
                <w:sz w:val="22"/>
                <w:szCs w:val="22"/>
              </w:rPr>
              <w:t>46.1</w:t>
            </w:r>
          </w:p>
        </w:tc>
      </w:tr>
      <w:tr>
        <w:tblPrEx>
          <w:tblCellMar>
            <w:top w:w="15" w:type="dxa"/>
            <w:left w:w="15" w:type="dxa"/>
            <w:bottom w:w="15" w:type="dxa"/>
            <w:right w:w="15" w:type="dxa"/>
          </w:tblCellMar>
        </w:tblPrEx>
        <w:trPr>
          <w:trHeight w:val="380" w:hRule="atLeast"/>
        </w:trPr>
        <w:tc>
          <w:tcPr>
            <w:tcW w:w="3450" w:type="dxa"/>
            <w:tcBorders>
              <w:top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Cs w:val="21"/>
              </w:rPr>
            </w:pPr>
            <w:r>
              <w:rPr>
                <w:rFonts w:ascii="Times New Roman" w:hAnsi="Times New Roman"/>
                <w:color w:val="000000"/>
                <w:kern w:val="0"/>
                <w:szCs w:val="21"/>
              </w:rPr>
              <w:t>批发和零售业</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top"/>
              <w:rPr>
                <w:rFonts w:ascii="Times New Roman" w:hAnsi="Times New Roman"/>
                <w:color w:val="000000"/>
                <w:sz w:val="22"/>
                <w:szCs w:val="22"/>
              </w:rPr>
            </w:pPr>
            <w:r>
              <w:rPr>
                <w:rFonts w:ascii="Times New Roman" w:hAnsi="Times New Roman"/>
                <w:color w:val="000000"/>
                <w:kern w:val="0"/>
                <w:sz w:val="22"/>
                <w:szCs w:val="22"/>
              </w:rPr>
              <w:t>124.26</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top"/>
              <w:rPr>
                <w:rFonts w:ascii="Times New Roman" w:hAnsi="Times New Roman"/>
                <w:bCs/>
                <w:color w:val="000000"/>
                <w:sz w:val="22"/>
                <w:szCs w:val="22"/>
              </w:rPr>
            </w:pPr>
            <w:r>
              <w:rPr>
                <w:rFonts w:ascii="Times New Roman" w:hAnsi="Times New Roman"/>
                <w:bCs/>
                <w:color w:val="000000"/>
                <w:kern w:val="0"/>
                <w:sz w:val="22"/>
                <w:szCs w:val="22"/>
              </w:rPr>
              <w:t>14.0</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top"/>
              <w:rPr>
                <w:rFonts w:ascii="Times New Roman" w:hAnsi="Times New Roman"/>
                <w:bCs/>
                <w:color w:val="000000"/>
                <w:sz w:val="22"/>
                <w:szCs w:val="22"/>
              </w:rPr>
            </w:pPr>
            <w:r>
              <w:rPr>
                <w:rFonts w:ascii="Times New Roman" w:hAnsi="Times New Roman"/>
                <w:bCs/>
                <w:color w:val="000000"/>
                <w:kern w:val="0"/>
                <w:sz w:val="22"/>
                <w:szCs w:val="22"/>
              </w:rPr>
              <w:t xml:space="preserve">33.18 </w:t>
            </w:r>
          </w:p>
        </w:tc>
        <w:tc>
          <w:tcPr>
            <w:tcW w:w="1185" w:type="dxa"/>
            <w:tcBorders>
              <w:top w:val="single" w:color="000000" w:sz="4" w:space="0"/>
              <w:left w:val="single" w:color="000000" w:sz="4" w:space="0"/>
              <w:bottom w:val="single" w:color="000000" w:sz="4" w:space="0"/>
            </w:tcBorders>
          </w:tcPr>
          <w:p>
            <w:pPr>
              <w:widowControl/>
              <w:jc w:val="right"/>
              <w:textAlignment w:val="top"/>
              <w:rPr>
                <w:rFonts w:ascii="Times New Roman" w:hAnsi="Times New Roman"/>
                <w:color w:val="000000"/>
                <w:sz w:val="22"/>
                <w:szCs w:val="22"/>
              </w:rPr>
            </w:pPr>
            <w:r>
              <w:rPr>
                <w:rFonts w:ascii="Times New Roman" w:hAnsi="Times New Roman"/>
                <w:color w:val="000000"/>
                <w:kern w:val="0"/>
                <w:sz w:val="22"/>
                <w:szCs w:val="22"/>
              </w:rPr>
              <w:t>36.4</w:t>
            </w:r>
          </w:p>
        </w:tc>
      </w:tr>
      <w:tr>
        <w:tblPrEx>
          <w:tblCellMar>
            <w:top w:w="15" w:type="dxa"/>
            <w:left w:w="15" w:type="dxa"/>
            <w:bottom w:w="15" w:type="dxa"/>
            <w:right w:w="15" w:type="dxa"/>
          </w:tblCellMar>
        </w:tblPrEx>
        <w:trPr>
          <w:trHeight w:val="380" w:hRule="atLeast"/>
        </w:trPr>
        <w:tc>
          <w:tcPr>
            <w:tcW w:w="3450" w:type="dxa"/>
            <w:tcBorders>
              <w:top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Cs w:val="21"/>
              </w:rPr>
            </w:pPr>
            <w:r>
              <w:rPr>
                <w:rFonts w:ascii="Times New Roman" w:hAnsi="Times New Roman"/>
                <w:color w:val="000000"/>
                <w:kern w:val="0"/>
                <w:szCs w:val="21"/>
              </w:rPr>
              <w:t>交通运输、仓储和邮政业</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top"/>
              <w:rPr>
                <w:rFonts w:ascii="Times New Roman" w:hAnsi="Times New Roman"/>
                <w:color w:val="000000"/>
                <w:sz w:val="22"/>
                <w:szCs w:val="22"/>
              </w:rPr>
            </w:pPr>
            <w:r>
              <w:rPr>
                <w:rFonts w:ascii="Times New Roman" w:hAnsi="Times New Roman"/>
                <w:color w:val="000000"/>
                <w:kern w:val="0"/>
                <w:sz w:val="22"/>
                <w:szCs w:val="22"/>
              </w:rPr>
              <w:t>52.09</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top"/>
              <w:rPr>
                <w:rFonts w:ascii="Times New Roman" w:hAnsi="Times New Roman"/>
                <w:bCs/>
                <w:color w:val="000000"/>
                <w:sz w:val="22"/>
                <w:szCs w:val="22"/>
              </w:rPr>
            </w:pPr>
            <w:r>
              <w:rPr>
                <w:rFonts w:ascii="Times New Roman" w:hAnsi="Times New Roman"/>
                <w:bCs/>
                <w:color w:val="000000"/>
                <w:kern w:val="0"/>
                <w:sz w:val="22"/>
                <w:szCs w:val="22"/>
              </w:rPr>
              <w:t>5.9</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top"/>
              <w:rPr>
                <w:rFonts w:ascii="Times New Roman" w:hAnsi="Times New Roman"/>
                <w:bCs/>
                <w:color w:val="000000"/>
                <w:sz w:val="22"/>
                <w:szCs w:val="22"/>
              </w:rPr>
            </w:pPr>
            <w:r>
              <w:rPr>
                <w:rFonts w:ascii="Times New Roman" w:hAnsi="Times New Roman"/>
                <w:bCs/>
                <w:color w:val="000000"/>
                <w:kern w:val="0"/>
                <w:sz w:val="22"/>
                <w:szCs w:val="22"/>
              </w:rPr>
              <w:t xml:space="preserve">-0.18 </w:t>
            </w:r>
          </w:p>
        </w:tc>
        <w:tc>
          <w:tcPr>
            <w:tcW w:w="1185" w:type="dxa"/>
            <w:tcBorders>
              <w:top w:val="single" w:color="000000" w:sz="4" w:space="0"/>
              <w:left w:val="single" w:color="000000" w:sz="4" w:space="0"/>
              <w:bottom w:val="single" w:color="000000" w:sz="4" w:space="0"/>
            </w:tcBorders>
          </w:tcPr>
          <w:p>
            <w:pPr>
              <w:widowControl/>
              <w:jc w:val="right"/>
              <w:textAlignment w:val="top"/>
              <w:rPr>
                <w:rFonts w:ascii="Times New Roman" w:hAnsi="Times New Roman"/>
                <w:color w:val="000000"/>
                <w:sz w:val="22"/>
                <w:szCs w:val="22"/>
              </w:rPr>
            </w:pPr>
            <w:r>
              <w:rPr>
                <w:rFonts w:ascii="Times New Roman" w:hAnsi="Times New Roman"/>
                <w:color w:val="000000"/>
                <w:kern w:val="0"/>
                <w:sz w:val="22"/>
                <w:szCs w:val="22"/>
              </w:rPr>
              <w:t>-0.4</w:t>
            </w:r>
          </w:p>
        </w:tc>
      </w:tr>
      <w:tr>
        <w:tblPrEx>
          <w:tblCellMar>
            <w:top w:w="15" w:type="dxa"/>
            <w:left w:w="15" w:type="dxa"/>
            <w:bottom w:w="15" w:type="dxa"/>
            <w:right w:w="15" w:type="dxa"/>
          </w:tblCellMar>
        </w:tblPrEx>
        <w:trPr>
          <w:trHeight w:val="380" w:hRule="atLeast"/>
        </w:trPr>
        <w:tc>
          <w:tcPr>
            <w:tcW w:w="3450" w:type="dxa"/>
            <w:tcBorders>
              <w:top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Cs w:val="21"/>
              </w:rPr>
            </w:pPr>
            <w:r>
              <w:rPr>
                <w:rFonts w:ascii="Times New Roman" w:hAnsi="Times New Roman"/>
                <w:color w:val="000000"/>
                <w:kern w:val="0"/>
                <w:szCs w:val="21"/>
              </w:rPr>
              <w:t>住宿和餐饮业</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top"/>
              <w:rPr>
                <w:rFonts w:ascii="Times New Roman" w:hAnsi="Times New Roman"/>
                <w:color w:val="000000"/>
                <w:sz w:val="22"/>
                <w:szCs w:val="22"/>
              </w:rPr>
            </w:pPr>
            <w:r>
              <w:rPr>
                <w:rFonts w:ascii="Times New Roman" w:hAnsi="Times New Roman"/>
                <w:color w:val="000000"/>
                <w:kern w:val="0"/>
                <w:sz w:val="22"/>
                <w:szCs w:val="22"/>
              </w:rPr>
              <w:t>26.2</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top"/>
              <w:rPr>
                <w:rFonts w:ascii="Times New Roman" w:hAnsi="Times New Roman"/>
                <w:bCs/>
                <w:color w:val="000000"/>
                <w:sz w:val="22"/>
                <w:szCs w:val="22"/>
              </w:rPr>
            </w:pPr>
            <w:r>
              <w:rPr>
                <w:rFonts w:ascii="Times New Roman" w:hAnsi="Times New Roman"/>
                <w:bCs/>
                <w:color w:val="000000"/>
                <w:kern w:val="0"/>
                <w:sz w:val="22"/>
                <w:szCs w:val="22"/>
              </w:rPr>
              <w:t>2.9</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top"/>
              <w:rPr>
                <w:rFonts w:ascii="Times New Roman" w:hAnsi="Times New Roman"/>
                <w:bCs/>
                <w:color w:val="000000"/>
                <w:sz w:val="22"/>
                <w:szCs w:val="22"/>
              </w:rPr>
            </w:pPr>
            <w:r>
              <w:rPr>
                <w:rFonts w:ascii="Times New Roman" w:hAnsi="Times New Roman"/>
                <w:bCs/>
                <w:color w:val="000000"/>
                <w:kern w:val="0"/>
                <w:sz w:val="22"/>
                <w:szCs w:val="22"/>
              </w:rPr>
              <w:t xml:space="preserve">3.68 </w:t>
            </w:r>
          </w:p>
        </w:tc>
        <w:tc>
          <w:tcPr>
            <w:tcW w:w="1185" w:type="dxa"/>
            <w:tcBorders>
              <w:top w:val="single" w:color="000000" w:sz="4" w:space="0"/>
              <w:left w:val="single" w:color="000000" w:sz="4" w:space="0"/>
              <w:bottom w:val="single" w:color="000000" w:sz="4" w:space="0"/>
            </w:tcBorders>
          </w:tcPr>
          <w:p>
            <w:pPr>
              <w:widowControl/>
              <w:jc w:val="right"/>
              <w:textAlignment w:val="top"/>
              <w:rPr>
                <w:rFonts w:ascii="Times New Roman" w:hAnsi="Times New Roman"/>
                <w:color w:val="000000"/>
                <w:sz w:val="22"/>
                <w:szCs w:val="22"/>
              </w:rPr>
            </w:pPr>
            <w:r>
              <w:rPr>
                <w:rFonts w:ascii="Times New Roman" w:hAnsi="Times New Roman"/>
                <w:color w:val="000000"/>
                <w:kern w:val="0"/>
                <w:sz w:val="22"/>
                <w:szCs w:val="22"/>
              </w:rPr>
              <w:t>16.3</w:t>
            </w:r>
          </w:p>
        </w:tc>
      </w:tr>
      <w:tr>
        <w:tblPrEx>
          <w:tblCellMar>
            <w:top w:w="15" w:type="dxa"/>
            <w:left w:w="15" w:type="dxa"/>
            <w:bottom w:w="15" w:type="dxa"/>
            <w:right w:w="15" w:type="dxa"/>
          </w:tblCellMar>
        </w:tblPrEx>
        <w:trPr>
          <w:trHeight w:val="380" w:hRule="atLeast"/>
        </w:trPr>
        <w:tc>
          <w:tcPr>
            <w:tcW w:w="3450" w:type="dxa"/>
            <w:tcBorders>
              <w:top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Cs w:val="21"/>
              </w:rPr>
            </w:pPr>
            <w:r>
              <w:rPr>
                <w:rFonts w:ascii="Times New Roman" w:hAnsi="Times New Roman"/>
                <w:color w:val="000000"/>
                <w:kern w:val="0"/>
                <w:szCs w:val="21"/>
              </w:rPr>
              <w:t>信息传输、软件和信息技术服务业</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top"/>
              <w:rPr>
                <w:rFonts w:ascii="Times New Roman" w:hAnsi="Times New Roman"/>
                <w:color w:val="000000"/>
                <w:sz w:val="22"/>
                <w:szCs w:val="22"/>
              </w:rPr>
            </w:pPr>
            <w:r>
              <w:rPr>
                <w:rFonts w:ascii="Times New Roman" w:hAnsi="Times New Roman"/>
                <w:color w:val="000000"/>
                <w:kern w:val="0"/>
                <w:sz w:val="22"/>
                <w:szCs w:val="22"/>
              </w:rPr>
              <w:t>53.74</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top"/>
              <w:rPr>
                <w:rFonts w:ascii="Times New Roman" w:hAnsi="Times New Roman"/>
                <w:bCs/>
                <w:color w:val="000000"/>
                <w:sz w:val="22"/>
                <w:szCs w:val="22"/>
              </w:rPr>
            </w:pPr>
            <w:r>
              <w:rPr>
                <w:rFonts w:ascii="Times New Roman" w:hAnsi="Times New Roman"/>
                <w:bCs/>
                <w:color w:val="000000"/>
                <w:kern w:val="0"/>
                <w:sz w:val="22"/>
                <w:szCs w:val="22"/>
              </w:rPr>
              <w:t>6.0</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top"/>
              <w:rPr>
                <w:rFonts w:ascii="Times New Roman" w:hAnsi="Times New Roman"/>
                <w:bCs/>
                <w:color w:val="000000"/>
                <w:sz w:val="22"/>
                <w:szCs w:val="22"/>
              </w:rPr>
            </w:pPr>
            <w:r>
              <w:rPr>
                <w:rFonts w:ascii="Times New Roman" w:hAnsi="Times New Roman"/>
                <w:bCs/>
                <w:color w:val="000000"/>
                <w:kern w:val="0"/>
                <w:sz w:val="22"/>
                <w:szCs w:val="22"/>
              </w:rPr>
              <w:t xml:space="preserve">30.93 </w:t>
            </w:r>
          </w:p>
        </w:tc>
        <w:tc>
          <w:tcPr>
            <w:tcW w:w="1185" w:type="dxa"/>
            <w:tcBorders>
              <w:top w:val="single" w:color="000000" w:sz="4" w:space="0"/>
              <w:left w:val="single" w:color="000000" w:sz="4" w:space="0"/>
              <w:bottom w:val="single" w:color="000000" w:sz="4" w:space="0"/>
            </w:tcBorders>
          </w:tcPr>
          <w:p>
            <w:pPr>
              <w:widowControl/>
              <w:jc w:val="right"/>
              <w:textAlignment w:val="top"/>
              <w:rPr>
                <w:rFonts w:ascii="Times New Roman" w:hAnsi="Times New Roman"/>
                <w:color w:val="000000"/>
                <w:sz w:val="22"/>
                <w:szCs w:val="22"/>
              </w:rPr>
            </w:pPr>
            <w:r>
              <w:rPr>
                <w:rFonts w:ascii="Times New Roman" w:hAnsi="Times New Roman"/>
                <w:color w:val="000000"/>
                <w:kern w:val="0"/>
                <w:sz w:val="22"/>
                <w:szCs w:val="22"/>
              </w:rPr>
              <w:t>135.</w:t>
            </w:r>
            <w:r>
              <w:rPr>
                <w:rFonts w:hint="eastAsia" w:ascii="Times New Roman" w:hAnsi="Times New Roman"/>
                <w:color w:val="000000"/>
                <w:kern w:val="0"/>
                <w:sz w:val="22"/>
                <w:szCs w:val="22"/>
              </w:rPr>
              <w:t>6</w:t>
            </w:r>
          </w:p>
        </w:tc>
      </w:tr>
      <w:tr>
        <w:tblPrEx>
          <w:tblCellMar>
            <w:top w:w="15" w:type="dxa"/>
            <w:left w:w="15" w:type="dxa"/>
            <w:bottom w:w="15" w:type="dxa"/>
            <w:right w:w="15" w:type="dxa"/>
          </w:tblCellMar>
        </w:tblPrEx>
        <w:trPr>
          <w:trHeight w:val="380" w:hRule="atLeast"/>
        </w:trPr>
        <w:tc>
          <w:tcPr>
            <w:tcW w:w="3450" w:type="dxa"/>
            <w:tcBorders>
              <w:top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Cs w:val="21"/>
              </w:rPr>
            </w:pPr>
            <w:r>
              <w:rPr>
                <w:rFonts w:ascii="Times New Roman" w:hAnsi="Times New Roman"/>
                <w:color w:val="000000"/>
                <w:kern w:val="0"/>
                <w:szCs w:val="21"/>
              </w:rPr>
              <w:t>房地产业</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top"/>
              <w:rPr>
                <w:rFonts w:ascii="Times New Roman" w:hAnsi="Times New Roman"/>
                <w:color w:val="000000"/>
                <w:sz w:val="22"/>
                <w:szCs w:val="22"/>
              </w:rPr>
            </w:pPr>
            <w:r>
              <w:rPr>
                <w:rFonts w:ascii="Times New Roman" w:hAnsi="Times New Roman"/>
                <w:color w:val="000000"/>
                <w:kern w:val="0"/>
                <w:sz w:val="22"/>
                <w:szCs w:val="22"/>
              </w:rPr>
              <w:t>46.34</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top"/>
              <w:rPr>
                <w:rFonts w:ascii="Times New Roman" w:hAnsi="Times New Roman"/>
                <w:bCs/>
                <w:color w:val="000000"/>
                <w:sz w:val="22"/>
                <w:szCs w:val="22"/>
              </w:rPr>
            </w:pPr>
            <w:r>
              <w:rPr>
                <w:rFonts w:ascii="Times New Roman" w:hAnsi="Times New Roman"/>
                <w:bCs/>
                <w:color w:val="000000"/>
                <w:kern w:val="0"/>
                <w:sz w:val="22"/>
                <w:szCs w:val="22"/>
              </w:rPr>
              <w:t>5.2</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top"/>
              <w:rPr>
                <w:rFonts w:ascii="Times New Roman" w:hAnsi="Times New Roman"/>
                <w:bCs/>
                <w:color w:val="000000"/>
                <w:sz w:val="22"/>
                <w:szCs w:val="22"/>
              </w:rPr>
            </w:pPr>
            <w:r>
              <w:rPr>
                <w:rFonts w:ascii="Times New Roman" w:hAnsi="Times New Roman"/>
                <w:bCs/>
                <w:color w:val="000000"/>
                <w:kern w:val="0"/>
                <w:sz w:val="22"/>
                <w:szCs w:val="22"/>
              </w:rPr>
              <w:t xml:space="preserve">13.40 </w:t>
            </w:r>
          </w:p>
        </w:tc>
        <w:tc>
          <w:tcPr>
            <w:tcW w:w="1185" w:type="dxa"/>
            <w:tcBorders>
              <w:top w:val="single" w:color="000000" w:sz="4" w:space="0"/>
              <w:left w:val="single" w:color="000000" w:sz="4" w:space="0"/>
              <w:bottom w:val="single" w:color="000000" w:sz="4" w:space="0"/>
            </w:tcBorders>
          </w:tcPr>
          <w:p>
            <w:pPr>
              <w:widowControl/>
              <w:jc w:val="right"/>
              <w:textAlignment w:val="top"/>
              <w:rPr>
                <w:rFonts w:ascii="Times New Roman" w:hAnsi="Times New Roman"/>
                <w:color w:val="000000"/>
                <w:sz w:val="22"/>
                <w:szCs w:val="22"/>
              </w:rPr>
            </w:pPr>
            <w:r>
              <w:rPr>
                <w:rFonts w:ascii="Times New Roman" w:hAnsi="Times New Roman"/>
                <w:color w:val="000000"/>
                <w:kern w:val="0"/>
                <w:sz w:val="22"/>
                <w:szCs w:val="22"/>
              </w:rPr>
              <w:t>40.7</w:t>
            </w:r>
          </w:p>
        </w:tc>
      </w:tr>
      <w:tr>
        <w:tblPrEx>
          <w:tblCellMar>
            <w:top w:w="15" w:type="dxa"/>
            <w:left w:w="15" w:type="dxa"/>
            <w:bottom w:w="15" w:type="dxa"/>
            <w:right w:w="15" w:type="dxa"/>
          </w:tblCellMar>
        </w:tblPrEx>
        <w:trPr>
          <w:trHeight w:val="380" w:hRule="atLeast"/>
        </w:trPr>
        <w:tc>
          <w:tcPr>
            <w:tcW w:w="3450" w:type="dxa"/>
            <w:tcBorders>
              <w:top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Cs w:val="21"/>
              </w:rPr>
            </w:pPr>
            <w:r>
              <w:rPr>
                <w:rFonts w:ascii="Times New Roman" w:hAnsi="Times New Roman"/>
                <w:color w:val="000000"/>
                <w:kern w:val="0"/>
                <w:szCs w:val="21"/>
              </w:rPr>
              <w:t>租赁和商务服务业</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top"/>
              <w:rPr>
                <w:rFonts w:ascii="Times New Roman" w:hAnsi="Times New Roman"/>
                <w:color w:val="000000"/>
                <w:sz w:val="22"/>
                <w:szCs w:val="22"/>
              </w:rPr>
            </w:pPr>
            <w:r>
              <w:rPr>
                <w:rFonts w:ascii="Times New Roman" w:hAnsi="Times New Roman"/>
                <w:color w:val="000000"/>
                <w:kern w:val="0"/>
                <w:sz w:val="22"/>
                <w:szCs w:val="22"/>
              </w:rPr>
              <w:t>86.73</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top"/>
              <w:rPr>
                <w:rFonts w:ascii="Times New Roman" w:hAnsi="Times New Roman"/>
                <w:bCs/>
                <w:color w:val="000000"/>
                <w:sz w:val="22"/>
                <w:szCs w:val="22"/>
              </w:rPr>
            </w:pPr>
            <w:r>
              <w:rPr>
                <w:rFonts w:ascii="Times New Roman" w:hAnsi="Times New Roman"/>
                <w:bCs/>
                <w:color w:val="000000"/>
                <w:kern w:val="0"/>
                <w:sz w:val="22"/>
                <w:szCs w:val="22"/>
              </w:rPr>
              <w:t>9.8</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top"/>
              <w:rPr>
                <w:rFonts w:ascii="Times New Roman" w:hAnsi="Times New Roman"/>
                <w:bCs/>
                <w:color w:val="000000"/>
                <w:sz w:val="22"/>
                <w:szCs w:val="22"/>
              </w:rPr>
            </w:pPr>
            <w:r>
              <w:rPr>
                <w:rFonts w:ascii="Times New Roman" w:hAnsi="Times New Roman"/>
                <w:bCs/>
                <w:color w:val="000000"/>
                <w:kern w:val="0"/>
                <w:sz w:val="22"/>
                <w:szCs w:val="22"/>
              </w:rPr>
              <w:t xml:space="preserve">35.03 </w:t>
            </w:r>
          </w:p>
        </w:tc>
        <w:tc>
          <w:tcPr>
            <w:tcW w:w="1185" w:type="dxa"/>
            <w:tcBorders>
              <w:top w:val="single" w:color="000000" w:sz="4" w:space="0"/>
              <w:left w:val="single" w:color="000000" w:sz="4" w:space="0"/>
              <w:bottom w:val="single" w:color="000000" w:sz="4" w:space="0"/>
            </w:tcBorders>
          </w:tcPr>
          <w:p>
            <w:pPr>
              <w:widowControl/>
              <w:jc w:val="right"/>
              <w:textAlignment w:val="top"/>
              <w:rPr>
                <w:rFonts w:ascii="Times New Roman" w:hAnsi="Times New Roman"/>
                <w:color w:val="000000"/>
                <w:sz w:val="22"/>
                <w:szCs w:val="22"/>
              </w:rPr>
            </w:pPr>
            <w:r>
              <w:rPr>
                <w:rFonts w:ascii="Times New Roman" w:hAnsi="Times New Roman"/>
                <w:color w:val="000000"/>
                <w:kern w:val="0"/>
                <w:sz w:val="22"/>
                <w:szCs w:val="22"/>
              </w:rPr>
              <w:t>67.8</w:t>
            </w:r>
          </w:p>
        </w:tc>
      </w:tr>
      <w:tr>
        <w:tblPrEx>
          <w:tblCellMar>
            <w:top w:w="15" w:type="dxa"/>
            <w:left w:w="15" w:type="dxa"/>
            <w:bottom w:w="15" w:type="dxa"/>
            <w:right w:w="15" w:type="dxa"/>
          </w:tblCellMar>
        </w:tblPrEx>
        <w:trPr>
          <w:trHeight w:val="380" w:hRule="atLeast"/>
        </w:trPr>
        <w:tc>
          <w:tcPr>
            <w:tcW w:w="3450" w:type="dxa"/>
            <w:tcBorders>
              <w:top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Cs w:val="21"/>
              </w:rPr>
            </w:pPr>
            <w:r>
              <w:rPr>
                <w:rFonts w:ascii="Times New Roman" w:hAnsi="Times New Roman"/>
                <w:color w:val="000000"/>
                <w:kern w:val="0"/>
                <w:szCs w:val="21"/>
              </w:rPr>
              <w:t>科学研究和技术服务业</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top"/>
              <w:rPr>
                <w:rFonts w:ascii="Times New Roman" w:hAnsi="Times New Roman"/>
                <w:color w:val="000000"/>
                <w:sz w:val="22"/>
                <w:szCs w:val="22"/>
              </w:rPr>
            </w:pPr>
            <w:r>
              <w:rPr>
                <w:rFonts w:ascii="Times New Roman" w:hAnsi="Times New Roman"/>
                <w:color w:val="000000"/>
                <w:kern w:val="0"/>
                <w:sz w:val="22"/>
                <w:szCs w:val="22"/>
              </w:rPr>
              <w:t>47.21</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top"/>
              <w:rPr>
                <w:rFonts w:ascii="Times New Roman" w:hAnsi="Times New Roman"/>
                <w:bCs/>
                <w:color w:val="000000"/>
                <w:sz w:val="22"/>
                <w:szCs w:val="22"/>
              </w:rPr>
            </w:pPr>
            <w:r>
              <w:rPr>
                <w:rFonts w:ascii="Times New Roman" w:hAnsi="Times New Roman"/>
                <w:bCs/>
                <w:color w:val="000000"/>
                <w:kern w:val="0"/>
                <w:sz w:val="22"/>
                <w:szCs w:val="22"/>
              </w:rPr>
              <w:t>5.3</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top"/>
              <w:rPr>
                <w:rFonts w:ascii="Times New Roman" w:hAnsi="Times New Roman"/>
                <w:bCs/>
                <w:color w:val="000000"/>
                <w:sz w:val="22"/>
                <w:szCs w:val="22"/>
              </w:rPr>
            </w:pPr>
            <w:r>
              <w:rPr>
                <w:rFonts w:ascii="Times New Roman" w:hAnsi="Times New Roman"/>
                <w:bCs/>
                <w:color w:val="000000"/>
                <w:kern w:val="0"/>
                <w:sz w:val="22"/>
                <w:szCs w:val="22"/>
              </w:rPr>
              <w:t xml:space="preserve">24.00 </w:t>
            </w:r>
          </w:p>
        </w:tc>
        <w:tc>
          <w:tcPr>
            <w:tcW w:w="1185" w:type="dxa"/>
            <w:tcBorders>
              <w:top w:val="single" w:color="000000" w:sz="4" w:space="0"/>
              <w:left w:val="single" w:color="000000" w:sz="4" w:space="0"/>
              <w:bottom w:val="single" w:color="000000" w:sz="4" w:space="0"/>
            </w:tcBorders>
          </w:tcPr>
          <w:p>
            <w:pPr>
              <w:widowControl/>
              <w:jc w:val="right"/>
              <w:textAlignment w:val="top"/>
              <w:rPr>
                <w:rFonts w:ascii="Times New Roman" w:hAnsi="Times New Roman"/>
                <w:color w:val="000000"/>
                <w:sz w:val="22"/>
                <w:szCs w:val="22"/>
              </w:rPr>
            </w:pPr>
            <w:r>
              <w:rPr>
                <w:rFonts w:ascii="Times New Roman" w:hAnsi="Times New Roman"/>
                <w:color w:val="000000"/>
                <w:kern w:val="0"/>
                <w:sz w:val="22"/>
                <w:szCs w:val="22"/>
              </w:rPr>
              <w:t>103.4</w:t>
            </w:r>
          </w:p>
        </w:tc>
      </w:tr>
      <w:tr>
        <w:tblPrEx>
          <w:tblCellMar>
            <w:top w:w="15" w:type="dxa"/>
            <w:left w:w="15" w:type="dxa"/>
            <w:bottom w:w="15" w:type="dxa"/>
            <w:right w:w="15" w:type="dxa"/>
          </w:tblCellMar>
        </w:tblPrEx>
        <w:trPr>
          <w:trHeight w:val="380" w:hRule="atLeast"/>
        </w:trPr>
        <w:tc>
          <w:tcPr>
            <w:tcW w:w="3450" w:type="dxa"/>
            <w:tcBorders>
              <w:top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Cs w:val="21"/>
              </w:rPr>
            </w:pPr>
            <w:r>
              <w:rPr>
                <w:rFonts w:ascii="Times New Roman" w:hAnsi="Times New Roman"/>
                <w:color w:val="000000"/>
                <w:kern w:val="0"/>
                <w:szCs w:val="21"/>
              </w:rPr>
              <w:t>水利、环境和公共设施管理业</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top"/>
              <w:rPr>
                <w:rFonts w:ascii="Times New Roman" w:hAnsi="Times New Roman"/>
                <w:color w:val="000000"/>
                <w:sz w:val="22"/>
                <w:szCs w:val="22"/>
              </w:rPr>
            </w:pPr>
            <w:r>
              <w:rPr>
                <w:rFonts w:ascii="Times New Roman" w:hAnsi="Times New Roman"/>
                <w:color w:val="000000"/>
                <w:kern w:val="0"/>
                <w:sz w:val="22"/>
                <w:szCs w:val="22"/>
              </w:rPr>
              <w:t>8.04</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top"/>
              <w:rPr>
                <w:rFonts w:ascii="Times New Roman" w:hAnsi="Times New Roman"/>
                <w:bCs/>
                <w:color w:val="000000"/>
                <w:sz w:val="22"/>
                <w:szCs w:val="22"/>
              </w:rPr>
            </w:pPr>
            <w:r>
              <w:rPr>
                <w:rFonts w:ascii="Times New Roman" w:hAnsi="Times New Roman"/>
                <w:bCs/>
                <w:color w:val="000000"/>
                <w:kern w:val="0"/>
                <w:sz w:val="22"/>
                <w:szCs w:val="22"/>
              </w:rPr>
              <w:t>0.9</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top"/>
              <w:rPr>
                <w:rFonts w:ascii="Times New Roman" w:hAnsi="Times New Roman"/>
                <w:bCs/>
                <w:color w:val="000000"/>
                <w:sz w:val="22"/>
                <w:szCs w:val="22"/>
              </w:rPr>
            </w:pPr>
            <w:r>
              <w:rPr>
                <w:rFonts w:ascii="Times New Roman" w:hAnsi="Times New Roman"/>
                <w:bCs/>
                <w:color w:val="000000"/>
                <w:kern w:val="0"/>
                <w:sz w:val="22"/>
                <w:szCs w:val="22"/>
              </w:rPr>
              <w:t xml:space="preserve">3.21 </w:t>
            </w:r>
          </w:p>
        </w:tc>
        <w:tc>
          <w:tcPr>
            <w:tcW w:w="1185" w:type="dxa"/>
            <w:tcBorders>
              <w:top w:val="single" w:color="000000" w:sz="4" w:space="0"/>
              <w:left w:val="single" w:color="000000" w:sz="4" w:space="0"/>
              <w:bottom w:val="single" w:color="000000" w:sz="4" w:space="0"/>
            </w:tcBorders>
          </w:tcPr>
          <w:p>
            <w:pPr>
              <w:widowControl/>
              <w:jc w:val="right"/>
              <w:textAlignment w:val="top"/>
              <w:rPr>
                <w:rFonts w:ascii="Times New Roman" w:hAnsi="Times New Roman"/>
                <w:color w:val="000000"/>
                <w:sz w:val="22"/>
                <w:szCs w:val="22"/>
              </w:rPr>
            </w:pPr>
            <w:r>
              <w:rPr>
                <w:rFonts w:ascii="Times New Roman" w:hAnsi="Times New Roman"/>
                <w:color w:val="000000"/>
                <w:kern w:val="0"/>
                <w:sz w:val="22"/>
                <w:szCs w:val="22"/>
              </w:rPr>
              <w:t>66.4</w:t>
            </w:r>
          </w:p>
        </w:tc>
      </w:tr>
      <w:tr>
        <w:tblPrEx>
          <w:tblCellMar>
            <w:top w:w="15" w:type="dxa"/>
            <w:left w:w="15" w:type="dxa"/>
            <w:bottom w:w="15" w:type="dxa"/>
            <w:right w:w="15" w:type="dxa"/>
          </w:tblCellMar>
        </w:tblPrEx>
        <w:trPr>
          <w:trHeight w:val="380" w:hRule="atLeast"/>
        </w:trPr>
        <w:tc>
          <w:tcPr>
            <w:tcW w:w="3450" w:type="dxa"/>
            <w:tcBorders>
              <w:top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Cs w:val="21"/>
              </w:rPr>
            </w:pPr>
            <w:r>
              <w:rPr>
                <w:rFonts w:ascii="Times New Roman" w:hAnsi="Times New Roman"/>
                <w:color w:val="000000"/>
                <w:kern w:val="0"/>
                <w:szCs w:val="21"/>
              </w:rPr>
              <w:t>居民服务、修理和其他服务业</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top"/>
              <w:rPr>
                <w:rFonts w:ascii="Times New Roman" w:hAnsi="Times New Roman"/>
                <w:color w:val="000000"/>
                <w:sz w:val="22"/>
                <w:szCs w:val="22"/>
              </w:rPr>
            </w:pPr>
            <w:r>
              <w:rPr>
                <w:rFonts w:ascii="Times New Roman" w:hAnsi="Times New Roman"/>
                <w:color w:val="000000"/>
                <w:kern w:val="0"/>
                <w:sz w:val="22"/>
                <w:szCs w:val="22"/>
              </w:rPr>
              <w:t>14.16</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top"/>
              <w:rPr>
                <w:rFonts w:ascii="Times New Roman" w:hAnsi="Times New Roman"/>
                <w:bCs/>
                <w:color w:val="000000"/>
                <w:sz w:val="22"/>
                <w:szCs w:val="22"/>
              </w:rPr>
            </w:pPr>
            <w:r>
              <w:rPr>
                <w:rFonts w:ascii="Times New Roman" w:hAnsi="Times New Roman"/>
                <w:bCs/>
                <w:color w:val="000000"/>
                <w:kern w:val="0"/>
                <w:sz w:val="22"/>
                <w:szCs w:val="22"/>
              </w:rPr>
              <w:t>1.6</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top"/>
              <w:rPr>
                <w:rFonts w:ascii="Times New Roman" w:hAnsi="Times New Roman"/>
                <w:bCs/>
                <w:color w:val="000000"/>
                <w:sz w:val="22"/>
                <w:szCs w:val="22"/>
              </w:rPr>
            </w:pPr>
            <w:r>
              <w:rPr>
                <w:rFonts w:ascii="Times New Roman" w:hAnsi="Times New Roman"/>
                <w:bCs/>
                <w:color w:val="000000"/>
                <w:kern w:val="0"/>
                <w:sz w:val="22"/>
                <w:szCs w:val="22"/>
              </w:rPr>
              <w:t xml:space="preserve">3.94 </w:t>
            </w:r>
          </w:p>
        </w:tc>
        <w:tc>
          <w:tcPr>
            <w:tcW w:w="1185" w:type="dxa"/>
            <w:tcBorders>
              <w:top w:val="single" w:color="000000" w:sz="4" w:space="0"/>
              <w:left w:val="single" w:color="000000" w:sz="4" w:space="0"/>
              <w:bottom w:val="single" w:color="000000" w:sz="4" w:space="0"/>
            </w:tcBorders>
          </w:tcPr>
          <w:p>
            <w:pPr>
              <w:widowControl/>
              <w:jc w:val="right"/>
              <w:textAlignment w:val="top"/>
              <w:rPr>
                <w:rFonts w:ascii="Times New Roman" w:hAnsi="Times New Roman"/>
                <w:color w:val="000000"/>
                <w:sz w:val="22"/>
                <w:szCs w:val="22"/>
              </w:rPr>
            </w:pPr>
            <w:r>
              <w:rPr>
                <w:rFonts w:ascii="Times New Roman" w:hAnsi="Times New Roman"/>
                <w:color w:val="000000"/>
                <w:kern w:val="0"/>
                <w:sz w:val="22"/>
                <w:szCs w:val="22"/>
              </w:rPr>
              <w:t>38.5</w:t>
            </w:r>
          </w:p>
        </w:tc>
      </w:tr>
      <w:tr>
        <w:tblPrEx>
          <w:tblCellMar>
            <w:top w:w="15" w:type="dxa"/>
            <w:left w:w="15" w:type="dxa"/>
            <w:bottom w:w="15" w:type="dxa"/>
            <w:right w:w="15" w:type="dxa"/>
          </w:tblCellMar>
        </w:tblPrEx>
        <w:trPr>
          <w:trHeight w:val="380" w:hRule="atLeast"/>
        </w:trPr>
        <w:tc>
          <w:tcPr>
            <w:tcW w:w="3450" w:type="dxa"/>
            <w:tcBorders>
              <w:top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Cs w:val="21"/>
              </w:rPr>
            </w:pPr>
            <w:r>
              <w:rPr>
                <w:rFonts w:ascii="Times New Roman" w:hAnsi="Times New Roman"/>
                <w:color w:val="000000"/>
                <w:kern w:val="0"/>
                <w:szCs w:val="21"/>
              </w:rPr>
              <w:t>教育</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top"/>
              <w:rPr>
                <w:rFonts w:ascii="Times New Roman" w:hAnsi="Times New Roman"/>
                <w:color w:val="000000"/>
                <w:sz w:val="22"/>
                <w:szCs w:val="22"/>
              </w:rPr>
            </w:pPr>
            <w:r>
              <w:rPr>
                <w:rFonts w:ascii="Times New Roman" w:hAnsi="Times New Roman"/>
                <w:color w:val="000000"/>
                <w:kern w:val="0"/>
                <w:sz w:val="22"/>
                <w:szCs w:val="22"/>
              </w:rPr>
              <w:t>37.76</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top"/>
              <w:rPr>
                <w:rFonts w:ascii="Times New Roman" w:hAnsi="Times New Roman"/>
                <w:bCs/>
                <w:color w:val="000000"/>
                <w:sz w:val="22"/>
                <w:szCs w:val="22"/>
              </w:rPr>
            </w:pPr>
            <w:r>
              <w:rPr>
                <w:rFonts w:ascii="Times New Roman" w:hAnsi="Times New Roman"/>
                <w:bCs/>
                <w:color w:val="000000"/>
                <w:kern w:val="0"/>
                <w:sz w:val="22"/>
                <w:szCs w:val="22"/>
              </w:rPr>
              <w:t>4.2</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top"/>
              <w:rPr>
                <w:rFonts w:ascii="Times New Roman" w:hAnsi="Times New Roman"/>
                <w:bCs/>
                <w:color w:val="000000"/>
                <w:sz w:val="22"/>
                <w:szCs w:val="22"/>
              </w:rPr>
            </w:pPr>
            <w:r>
              <w:rPr>
                <w:rFonts w:ascii="Times New Roman" w:hAnsi="Times New Roman"/>
                <w:bCs/>
                <w:color w:val="000000"/>
                <w:kern w:val="0"/>
                <w:sz w:val="22"/>
                <w:szCs w:val="22"/>
              </w:rPr>
              <w:t xml:space="preserve">7.96 </w:t>
            </w:r>
          </w:p>
        </w:tc>
        <w:tc>
          <w:tcPr>
            <w:tcW w:w="1185" w:type="dxa"/>
            <w:tcBorders>
              <w:top w:val="single" w:color="000000" w:sz="4" w:space="0"/>
              <w:left w:val="single" w:color="000000" w:sz="4" w:space="0"/>
              <w:bottom w:val="single" w:color="000000" w:sz="4" w:space="0"/>
            </w:tcBorders>
          </w:tcPr>
          <w:p>
            <w:pPr>
              <w:widowControl/>
              <w:jc w:val="right"/>
              <w:textAlignment w:val="top"/>
              <w:rPr>
                <w:rFonts w:ascii="Times New Roman" w:hAnsi="Times New Roman"/>
                <w:color w:val="000000"/>
                <w:sz w:val="22"/>
                <w:szCs w:val="22"/>
              </w:rPr>
            </w:pPr>
            <w:r>
              <w:rPr>
                <w:rFonts w:ascii="Times New Roman" w:hAnsi="Times New Roman"/>
                <w:color w:val="000000"/>
                <w:kern w:val="0"/>
                <w:sz w:val="22"/>
                <w:szCs w:val="22"/>
              </w:rPr>
              <w:t>26.7</w:t>
            </w:r>
          </w:p>
        </w:tc>
      </w:tr>
      <w:tr>
        <w:tblPrEx>
          <w:tblCellMar>
            <w:top w:w="15" w:type="dxa"/>
            <w:left w:w="15" w:type="dxa"/>
            <w:bottom w:w="15" w:type="dxa"/>
            <w:right w:w="15" w:type="dxa"/>
          </w:tblCellMar>
        </w:tblPrEx>
        <w:trPr>
          <w:trHeight w:val="380" w:hRule="atLeast"/>
        </w:trPr>
        <w:tc>
          <w:tcPr>
            <w:tcW w:w="3450" w:type="dxa"/>
            <w:tcBorders>
              <w:top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Cs w:val="21"/>
              </w:rPr>
            </w:pPr>
            <w:r>
              <w:rPr>
                <w:rFonts w:ascii="Times New Roman" w:hAnsi="Times New Roman"/>
                <w:color w:val="000000"/>
                <w:kern w:val="0"/>
                <w:szCs w:val="21"/>
              </w:rPr>
              <w:t>卫生和社会工作</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top"/>
              <w:rPr>
                <w:rFonts w:ascii="Times New Roman" w:hAnsi="Times New Roman"/>
                <w:color w:val="000000"/>
                <w:sz w:val="22"/>
                <w:szCs w:val="22"/>
              </w:rPr>
            </w:pPr>
            <w:r>
              <w:rPr>
                <w:rFonts w:ascii="Times New Roman" w:hAnsi="Times New Roman"/>
                <w:color w:val="000000"/>
                <w:kern w:val="0"/>
                <w:sz w:val="22"/>
                <w:szCs w:val="22"/>
              </w:rPr>
              <w:t>21.46</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top"/>
              <w:rPr>
                <w:rFonts w:ascii="Times New Roman" w:hAnsi="Times New Roman"/>
                <w:bCs/>
                <w:color w:val="000000"/>
                <w:sz w:val="22"/>
                <w:szCs w:val="22"/>
              </w:rPr>
            </w:pPr>
            <w:r>
              <w:rPr>
                <w:rFonts w:ascii="Times New Roman" w:hAnsi="Times New Roman"/>
                <w:bCs/>
                <w:color w:val="000000"/>
                <w:kern w:val="0"/>
                <w:sz w:val="22"/>
                <w:szCs w:val="22"/>
              </w:rPr>
              <w:t>2.4</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top"/>
              <w:rPr>
                <w:rFonts w:ascii="Times New Roman" w:hAnsi="Times New Roman"/>
                <w:bCs/>
                <w:color w:val="000000"/>
                <w:sz w:val="22"/>
                <w:szCs w:val="22"/>
              </w:rPr>
            </w:pPr>
            <w:r>
              <w:rPr>
                <w:rFonts w:ascii="Times New Roman" w:hAnsi="Times New Roman"/>
                <w:bCs/>
                <w:color w:val="000000"/>
                <w:kern w:val="0"/>
                <w:sz w:val="22"/>
                <w:szCs w:val="22"/>
              </w:rPr>
              <w:t xml:space="preserve">5.51 </w:t>
            </w:r>
          </w:p>
        </w:tc>
        <w:tc>
          <w:tcPr>
            <w:tcW w:w="1185" w:type="dxa"/>
            <w:tcBorders>
              <w:top w:val="single" w:color="000000" w:sz="4" w:space="0"/>
              <w:left w:val="single" w:color="000000" w:sz="4" w:space="0"/>
              <w:bottom w:val="single" w:color="000000" w:sz="4" w:space="0"/>
            </w:tcBorders>
          </w:tcPr>
          <w:p>
            <w:pPr>
              <w:widowControl/>
              <w:jc w:val="right"/>
              <w:textAlignment w:val="top"/>
              <w:rPr>
                <w:rFonts w:ascii="Times New Roman" w:hAnsi="Times New Roman"/>
                <w:color w:val="000000"/>
                <w:sz w:val="22"/>
                <w:szCs w:val="22"/>
              </w:rPr>
            </w:pPr>
            <w:r>
              <w:rPr>
                <w:rFonts w:ascii="Times New Roman" w:hAnsi="Times New Roman"/>
                <w:color w:val="000000"/>
                <w:kern w:val="0"/>
                <w:sz w:val="22"/>
                <w:szCs w:val="22"/>
              </w:rPr>
              <w:t>34.5</w:t>
            </w:r>
          </w:p>
        </w:tc>
      </w:tr>
      <w:tr>
        <w:tblPrEx>
          <w:tblCellMar>
            <w:top w:w="15" w:type="dxa"/>
            <w:left w:w="15" w:type="dxa"/>
            <w:bottom w:w="15" w:type="dxa"/>
            <w:right w:w="15" w:type="dxa"/>
          </w:tblCellMar>
        </w:tblPrEx>
        <w:trPr>
          <w:trHeight w:val="380" w:hRule="atLeast"/>
        </w:trPr>
        <w:tc>
          <w:tcPr>
            <w:tcW w:w="3450" w:type="dxa"/>
            <w:tcBorders>
              <w:top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Cs w:val="21"/>
              </w:rPr>
            </w:pPr>
            <w:r>
              <w:rPr>
                <w:rFonts w:ascii="Times New Roman" w:hAnsi="Times New Roman"/>
                <w:color w:val="000000"/>
                <w:kern w:val="0"/>
                <w:szCs w:val="21"/>
              </w:rPr>
              <w:t>文化、体育和娱乐业</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top"/>
              <w:rPr>
                <w:rFonts w:ascii="Times New Roman" w:hAnsi="Times New Roman"/>
                <w:color w:val="000000"/>
                <w:sz w:val="22"/>
                <w:szCs w:val="22"/>
              </w:rPr>
            </w:pPr>
            <w:r>
              <w:rPr>
                <w:rFonts w:ascii="Times New Roman" w:hAnsi="Times New Roman"/>
                <w:color w:val="000000"/>
                <w:kern w:val="0"/>
                <w:sz w:val="22"/>
                <w:szCs w:val="22"/>
              </w:rPr>
              <w:t>10.90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top"/>
              <w:rPr>
                <w:rFonts w:ascii="Times New Roman" w:hAnsi="Times New Roman"/>
                <w:bCs/>
                <w:color w:val="000000"/>
                <w:sz w:val="22"/>
                <w:szCs w:val="22"/>
              </w:rPr>
            </w:pPr>
            <w:r>
              <w:rPr>
                <w:rFonts w:ascii="Times New Roman" w:hAnsi="Times New Roman"/>
                <w:bCs/>
                <w:color w:val="000000"/>
                <w:kern w:val="0"/>
                <w:sz w:val="22"/>
                <w:szCs w:val="22"/>
              </w:rPr>
              <w:t>1.2</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top"/>
              <w:rPr>
                <w:rFonts w:ascii="Times New Roman" w:hAnsi="Times New Roman"/>
                <w:bCs/>
                <w:color w:val="000000"/>
                <w:sz w:val="22"/>
                <w:szCs w:val="22"/>
              </w:rPr>
            </w:pPr>
            <w:r>
              <w:rPr>
                <w:rFonts w:ascii="Times New Roman" w:hAnsi="Times New Roman"/>
                <w:bCs/>
                <w:color w:val="000000"/>
                <w:kern w:val="0"/>
                <w:sz w:val="22"/>
                <w:szCs w:val="22"/>
              </w:rPr>
              <w:t xml:space="preserve">2.76 </w:t>
            </w:r>
          </w:p>
        </w:tc>
        <w:tc>
          <w:tcPr>
            <w:tcW w:w="1185" w:type="dxa"/>
            <w:tcBorders>
              <w:top w:val="single" w:color="000000" w:sz="4" w:space="0"/>
              <w:left w:val="single" w:color="000000" w:sz="4" w:space="0"/>
              <w:bottom w:val="single" w:color="000000" w:sz="4" w:space="0"/>
            </w:tcBorders>
          </w:tcPr>
          <w:p>
            <w:pPr>
              <w:widowControl/>
              <w:jc w:val="right"/>
              <w:textAlignment w:val="top"/>
              <w:rPr>
                <w:rFonts w:ascii="Times New Roman" w:hAnsi="Times New Roman"/>
                <w:color w:val="000000"/>
                <w:sz w:val="22"/>
                <w:szCs w:val="22"/>
              </w:rPr>
            </w:pPr>
            <w:r>
              <w:rPr>
                <w:rFonts w:ascii="Times New Roman" w:hAnsi="Times New Roman"/>
                <w:color w:val="000000"/>
                <w:kern w:val="0"/>
                <w:sz w:val="22"/>
                <w:szCs w:val="22"/>
              </w:rPr>
              <w:t>33.9</w:t>
            </w:r>
          </w:p>
        </w:tc>
      </w:tr>
      <w:tr>
        <w:tblPrEx>
          <w:tblCellMar>
            <w:top w:w="15" w:type="dxa"/>
            <w:left w:w="15" w:type="dxa"/>
            <w:bottom w:w="15" w:type="dxa"/>
            <w:right w:w="15" w:type="dxa"/>
          </w:tblCellMar>
        </w:tblPrEx>
        <w:trPr>
          <w:trHeight w:val="380" w:hRule="atLeast"/>
        </w:trPr>
        <w:tc>
          <w:tcPr>
            <w:tcW w:w="3450" w:type="dxa"/>
            <w:tcBorders>
              <w:top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Cs w:val="21"/>
              </w:rPr>
            </w:pPr>
            <w:r>
              <w:rPr>
                <w:rFonts w:ascii="Times New Roman" w:hAnsi="Times New Roman"/>
                <w:color w:val="000000"/>
                <w:kern w:val="0"/>
                <w:szCs w:val="21"/>
              </w:rPr>
              <w:t>公共管理、社会保障和社会组织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top"/>
              <w:rPr>
                <w:rFonts w:ascii="Times New Roman" w:hAnsi="Times New Roman"/>
                <w:color w:val="000000"/>
                <w:sz w:val="22"/>
                <w:szCs w:val="22"/>
              </w:rPr>
            </w:pPr>
            <w:r>
              <w:rPr>
                <w:rFonts w:ascii="Times New Roman" w:hAnsi="Times New Roman"/>
                <w:color w:val="000000"/>
                <w:kern w:val="0"/>
                <w:sz w:val="22"/>
                <w:szCs w:val="22"/>
              </w:rPr>
              <w:t>27.55</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top"/>
              <w:rPr>
                <w:rFonts w:ascii="Times New Roman" w:hAnsi="Times New Roman"/>
                <w:bCs/>
                <w:color w:val="000000"/>
                <w:sz w:val="22"/>
                <w:szCs w:val="22"/>
              </w:rPr>
            </w:pPr>
            <w:r>
              <w:rPr>
                <w:rFonts w:ascii="Times New Roman" w:hAnsi="Times New Roman"/>
                <w:bCs/>
                <w:color w:val="000000"/>
                <w:kern w:val="0"/>
                <w:sz w:val="22"/>
                <w:szCs w:val="22"/>
              </w:rPr>
              <w:t>3.1</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top"/>
              <w:rPr>
                <w:rFonts w:ascii="Times New Roman" w:hAnsi="Times New Roman"/>
                <w:bCs/>
                <w:color w:val="000000"/>
                <w:sz w:val="22"/>
                <w:szCs w:val="22"/>
              </w:rPr>
            </w:pPr>
            <w:r>
              <w:rPr>
                <w:rFonts w:ascii="Times New Roman" w:hAnsi="Times New Roman"/>
                <w:bCs/>
                <w:color w:val="000000"/>
                <w:kern w:val="0"/>
                <w:sz w:val="22"/>
                <w:szCs w:val="22"/>
              </w:rPr>
              <w:t xml:space="preserve">-1.66 </w:t>
            </w:r>
          </w:p>
        </w:tc>
        <w:tc>
          <w:tcPr>
            <w:tcW w:w="1185" w:type="dxa"/>
            <w:tcBorders>
              <w:top w:val="single" w:color="000000" w:sz="4" w:space="0"/>
              <w:left w:val="single" w:color="000000" w:sz="4" w:space="0"/>
              <w:bottom w:val="single" w:color="000000" w:sz="4" w:space="0"/>
            </w:tcBorders>
          </w:tcPr>
          <w:p>
            <w:pPr>
              <w:widowControl/>
              <w:jc w:val="right"/>
              <w:textAlignment w:val="top"/>
              <w:rPr>
                <w:rFonts w:ascii="Times New Roman" w:hAnsi="Times New Roman"/>
                <w:color w:val="000000"/>
                <w:sz w:val="22"/>
                <w:szCs w:val="22"/>
              </w:rPr>
            </w:pPr>
            <w:r>
              <w:rPr>
                <w:rFonts w:ascii="Times New Roman" w:hAnsi="Times New Roman"/>
                <w:color w:val="000000"/>
                <w:kern w:val="0"/>
                <w:sz w:val="22"/>
                <w:szCs w:val="22"/>
              </w:rPr>
              <w:t>-5.7</w:t>
            </w:r>
          </w:p>
        </w:tc>
      </w:tr>
    </w:tbl>
    <w:p>
      <w:pPr>
        <w:widowControl/>
        <w:rPr>
          <w:rFonts w:ascii="Times New Roman" w:hAnsi="Times New Roman" w:eastAsia="仿宋_GB2312"/>
          <w:kern w:val="0"/>
          <w:sz w:val="32"/>
          <w:szCs w:val="32"/>
        </w:rPr>
      </w:pPr>
      <w:r>
        <w:rPr>
          <w:rFonts w:ascii="Times New Roman" w:hAnsi="Times New Roman" w:eastAsia="楷体"/>
          <w:color w:val="000000"/>
          <w:kern w:val="0"/>
          <w:szCs w:val="21"/>
        </w:rPr>
        <w:t>注：表中合计数含从事农、林、牧、渔专业及辅助性活动、金融业的法人单位从业人员。</w:t>
      </w:r>
    </w:p>
    <w:p>
      <w:pPr>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三、近五年从业人员“区势”有所变化</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2018年末，法人单位从业人员位居前三位的是：天河区226.31万人，比2013年末增加108.18万人，所占比例从2013年的17.4%上升至2018年的25.5%；白云区114.65万人，增加36.67万人，所占比例从2013年的11.5%上升至2018年的12.9%；越秀区99.59万人，减少2.01万人，所占比例从2013年的15.0%下降至2018年的11.2%。</w:t>
      </w:r>
    </w:p>
    <w:p>
      <w:pPr>
        <w:snapToGrid w:val="0"/>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近五年来，天河区、南沙区和白云区的法人单位从业人员数量增幅较大，分别为91.6%、64.9%和47.0%，而</w:t>
      </w:r>
      <w:r>
        <w:rPr>
          <w:rFonts w:ascii="Times New Roman" w:hAnsi="Times New Roman" w:eastAsia="仿宋_GB2312"/>
          <w:kern w:val="0"/>
          <w:sz w:val="32"/>
          <w:szCs w:val="32"/>
        </w:rPr>
        <w:t>增城区、越秀区则呈现出下降之势。</w:t>
      </w:r>
    </w:p>
    <w:p>
      <w:pPr>
        <w:snapToGrid w:val="0"/>
        <w:spacing w:line="580" w:lineRule="exact"/>
        <w:ind w:firstLine="1446" w:firstLineChars="600"/>
        <w:rPr>
          <w:rFonts w:ascii="Times New Roman" w:hAnsi="Times New Roman"/>
        </w:rPr>
      </w:pPr>
      <w:r>
        <w:rPr>
          <w:rFonts w:ascii="Times New Roman" w:hAnsi="Times New Roman"/>
          <w:b/>
          <w:color w:val="333333"/>
          <w:kern w:val="0"/>
          <w:sz w:val="24"/>
        </w:rPr>
        <w:t>图2　五年来全市各区法人单位从业人员数量变化</w:t>
      </w:r>
    </w:p>
    <w:p>
      <w:pPr>
        <w:pStyle w:val="2"/>
        <w:ind w:left="0" w:leftChars="0" w:firstLine="0"/>
        <w:rPr>
          <w:rFonts w:ascii="Times New Roman" w:hAnsi="Times New Roman"/>
        </w:rPr>
      </w:pPr>
      <w:r>
        <w:rPr>
          <w:rFonts w:ascii="Times New Roman" w:hAnsi="Times New Roman"/>
        </w:rPr>
        <w:drawing>
          <wp:inline distT="0" distB="0" distL="0" distR="0">
            <wp:extent cx="5066030" cy="3189605"/>
            <wp:effectExtent l="4445" t="4445" r="15875" b="6350"/>
            <wp:docPr id="6" name="图片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2"/>
        <w:ind w:left="0" w:leftChars="0" w:firstLine="0"/>
        <w:rPr>
          <w:rFonts w:ascii="Times New Roman" w:hAnsi="Times New Roman" w:eastAsia="仿宋_GB2312"/>
          <w:sz w:val="32"/>
          <w:szCs w:val="32"/>
        </w:rPr>
      </w:pPr>
    </w:p>
    <w:p>
      <w:pPr>
        <w:pStyle w:val="2"/>
        <w:ind w:left="0" w:leftChars="0" w:firstLine="0"/>
        <w:jc w:val="right"/>
      </w:pPr>
      <w:r>
        <w:rPr>
          <w:rFonts w:hint="eastAsia" w:ascii="Times New Roman" w:hAnsi="Times New Roman" w:eastAsia="仿宋_GB2312"/>
          <w:sz w:val="32"/>
          <w:szCs w:val="32"/>
        </w:rPr>
        <w:t>（人口和社会科技处）</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5C2D"/>
    <w:multiLevelType w:val="singleLevel"/>
    <w:tmpl w:val="02CB5C2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1C47E1"/>
    <w:rsid w:val="1A1C47E1"/>
    <w:rsid w:val="273456E4"/>
    <w:rsid w:val="33075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spacing w:after="120"/>
      <w:ind w:left="420" w:leftChars="200" w:firstLine="420"/>
    </w:pPr>
  </w:style>
  <w:style w:type="character" w:customStyle="1" w:styleId="5">
    <w:name w:val="font51"/>
    <w:basedOn w:val="4"/>
    <w:qFormat/>
    <w:uiPriority w:val="0"/>
    <w:rPr>
      <w:rFonts w:hint="eastAsia" w:ascii="宋体" w:hAnsi="宋体" w:eastAsia="宋体" w:cs="宋体"/>
      <w:b/>
      <w:color w:val="000000"/>
      <w:sz w:val="24"/>
      <w:szCs w:val="24"/>
      <w:u w:val="none"/>
    </w:rPr>
  </w:style>
  <w:style w:type="character" w:customStyle="1" w:styleId="6">
    <w:name w:val="font21"/>
    <w:basedOn w:val="4"/>
    <w:qFormat/>
    <w:uiPriority w:val="0"/>
    <w:rPr>
      <w:rFonts w:hint="default" w:ascii="Times New Roman" w:hAnsi="Times New Roman" w:cs="Times New Roman"/>
      <w:b/>
      <w:color w:val="000000"/>
      <w:sz w:val="21"/>
      <w:szCs w:val="21"/>
      <w:u w:val="none"/>
    </w:rPr>
  </w:style>
  <w:style w:type="character" w:customStyle="1" w:styleId="7">
    <w:name w:val="font31"/>
    <w:basedOn w:val="4"/>
    <w:qFormat/>
    <w:uiPriority w:val="0"/>
    <w:rPr>
      <w:rFonts w:hint="eastAsia" w:ascii="宋体" w:hAnsi="宋体" w:eastAsia="宋体" w:cs="宋体"/>
      <w:b/>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1\Desktop\&#35299;&#35835;&#22270;&#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4037;&#20316;\2020&#24180;\&#32463;&#27982;&#26222;&#26597;\&#20844;&#25253;&#21450;&#35299;&#35835;\&#35299;&#35835;&#22270;&#349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sz="1000"/>
              <a:t>单位：万人</a:t>
            </a:r>
            <a:endParaRPr sz="1000"/>
          </a:p>
        </c:rich>
      </c:tx>
      <c:layout>
        <c:manualLayout>
          <c:xMode val="edge"/>
          <c:yMode val="edge"/>
          <c:x val="0.0135201272482566"/>
          <c:y val="0.0265538945712039"/>
        </c:manualLayout>
      </c:layout>
      <c:overlay val="0"/>
      <c:spPr>
        <a:noFill/>
        <a:ln>
          <a:noFill/>
        </a:ln>
        <a:effectLst/>
      </c:spPr>
    </c:title>
    <c:autoTitleDeleted val="0"/>
    <c:plotArea>
      <c:layout/>
      <c:barChart>
        <c:barDir val="col"/>
        <c:grouping val="stacked"/>
        <c:varyColors val="0"/>
        <c:ser>
          <c:idx val="0"/>
          <c:order val="0"/>
          <c:tx>
            <c:strRef>
              <c:f>[解读图表.xlsx]Sheet1!$A$2</c:f>
              <c:strCache>
                <c:ptCount val="1"/>
                <c:pt idx="0">
                  <c:v>第二产业</c:v>
                </c:pt>
              </c:strCache>
            </c:strRef>
          </c:tx>
          <c:spPr>
            <a:solidFill>
              <a:srgbClr val="5B9BD5"/>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Sheet1!$B$1:$C$1</c:f>
              <c:strCache>
                <c:ptCount val="2"/>
                <c:pt idx="0">
                  <c:v>2013年末</c:v>
                </c:pt>
                <c:pt idx="1">
                  <c:v>2018年末</c:v>
                </c:pt>
              </c:strCache>
            </c:strRef>
          </c:cat>
          <c:val>
            <c:numRef>
              <c:f>Sheet1!$B$2:$C$2</c:f>
              <c:numCache>
                <c:formatCode>0.00_ </c:formatCode>
                <c:ptCount val="2"/>
                <c:pt idx="0">
                  <c:v>266.91</c:v>
                </c:pt>
                <c:pt idx="1">
                  <c:v>248.67</c:v>
                </c:pt>
              </c:numCache>
            </c:numRef>
          </c:val>
        </c:ser>
        <c:ser>
          <c:idx val="1"/>
          <c:order val="1"/>
          <c:tx>
            <c:strRef>
              <c:f>[解读图表.xlsx]Sheet1!$A$3</c:f>
              <c:strCache>
                <c:ptCount val="1"/>
                <c:pt idx="0">
                  <c:v>第三产业</c:v>
                </c:pt>
              </c:strCache>
            </c:strRef>
          </c:tx>
          <c:spPr>
            <a:solidFill>
              <a:srgbClr val="ED7D3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Sheet1!$B$1:$C$1</c:f>
              <c:strCache>
                <c:ptCount val="2"/>
                <c:pt idx="0">
                  <c:v>2013年末</c:v>
                </c:pt>
                <c:pt idx="1">
                  <c:v>2018年末</c:v>
                </c:pt>
              </c:strCache>
            </c:strRef>
          </c:cat>
          <c:val>
            <c:numRef>
              <c:f>Sheet1!$B$3:$C$3</c:f>
              <c:numCache>
                <c:formatCode>0.00_ </c:formatCode>
                <c:ptCount val="2"/>
                <c:pt idx="0">
                  <c:v>411.59</c:v>
                </c:pt>
                <c:pt idx="1" c:formatCode="General">
                  <c:v>639.829999999999</c:v>
                </c:pt>
              </c:numCache>
            </c:numRef>
          </c:val>
        </c:ser>
        <c:dLbls>
          <c:showLegendKey val="0"/>
          <c:showVal val="1"/>
          <c:showCatName val="0"/>
          <c:showSerName val="0"/>
          <c:showPercent val="0"/>
          <c:showBubbleSize val="0"/>
        </c:dLbls>
        <c:gapWidth val="75"/>
        <c:overlap val="100"/>
        <c:axId val="337700352"/>
        <c:axId val="337702272"/>
      </c:barChart>
      <c:catAx>
        <c:axId val="337700352"/>
        <c:scaling>
          <c:orientation val="minMax"/>
        </c:scaling>
        <c:delete val="0"/>
        <c:axPos val="b"/>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37702272"/>
        <c:crosses val="autoZero"/>
        <c:auto val="1"/>
        <c:lblAlgn val="ctr"/>
        <c:lblOffset val="100"/>
        <c:noMultiLvlLbl val="0"/>
      </c:catAx>
      <c:valAx>
        <c:axId val="337702272"/>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0.00;[Red]\-#,##0.00" sourceLinked="0"/>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3770035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900" b="0" i="0" u="none" strike="noStrike" kern="1200" spc="0" baseline="0">
                <a:solidFill>
                  <a:srgbClr val="595959">
                    <a:lumMod val="65000"/>
                    <a:lumOff val="35000"/>
                  </a:srgbClr>
                </a:solidFill>
                <a:latin typeface="+mn-lt"/>
                <a:ea typeface="+mn-ea"/>
                <a:cs typeface="+mn-cs"/>
              </a:defRPr>
            </a:pPr>
            <a:r>
              <a:rPr sz="900"/>
              <a:t>单位：万人</a:t>
            </a:r>
            <a:endParaRPr sz="900"/>
          </a:p>
        </c:rich>
      </c:tx>
      <c:layout>
        <c:manualLayout>
          <c:xMode val="edge"/>
          <c:yMode val="edge"/>
          <c:x val="0.0213888888888889"/>
          <c:y val="0.0347222222222222"/>
        </c:manualLayout>
      </c:layout>
      <c:overlay val="0"/>
      <c:spPr>
        <a:noFill/>
        <a:ln>
          <a:noFill/>
        </a:ln>
        <a:effectLst/>
      </c:spPr>
    </c:title>
    <c:autoTitleDeleted val="0"/>
    <c:plotArea>
      <c:layout/>
      <c:lineChart>
        <c:grouping val="standard"/>
        <c:varyColors val="0"/>
        <c:ser>
          <c:idx val="0"/>
          <c:order val="0"/>
          <c:tx>
            <c:strRef>
              <c:f>[解读图表2.xlsx]Sheet1!$B$1</c:f>
              <c:strCache>
                <c:ptCount val="1"/>
                <c:pt idx="0">
                  <c:v>2018年末</c:v>
                </c:pt>
              </c:strCache>
            </c:strRef>
          </c:tx>
          <c:spPr>
            <a:ln w="28575" cap="rnd" cmpd="sng" algn="ctr">
              <a:solidFill>
                <a:srgbClr val="4F81BD"/>
              </a:solidFill>
              <a:prstDash val="solid"/>
              <a:round/>
            </a:ln>
            <a:effectLst/>
          </c:spPr>
          <c:marker>
            <c:symbol val="none"/>
          </c:marker>
          <c:dLbls>
            <c:dLbl>
              <c:idx val="0"/>
              <c:layout>
                <c:manualLayout>
                  <c:x val="-0.0140625"/>
                  <c:y val="-0.034356233174570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416666666666667"/>
                  <c:y val="0.066150543015577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976562500000002"/>
                  <c:y val="-0.05810813142817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208333333333334"/>
                  <c:y val="-0.052083333333333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354166666666667"/>
                  <c:y val="-0.038194444444444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611979166666668"/>
                  <c:y val="-0.046959486666206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
                  <c:y val="-0.038194444444444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0208333333333334"/>
                  <c:y val="-0.034722222222222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
                  <c:y val="-0.027956098571132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0625000000000001"/>
                  <c:y val="-0.0312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1171875"/>
                  <c:y val="0.037274798094843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cap="none" spc="0" normalizeH="0" baseline="0">
                    <a:solidFill>
                      <a:srgbClr val="4F81BD"/>
                    </a:solidFill>
                    <a:uFill>
                      <a:solidFill>
                        <a:srgbClr val="404040">
                          <a:lumMod val="75000"/>
                          <a:lumOff val="25000"/>
                        </a:srgbClr>
                      </a:solidFill>
                    </a:u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[解读图表2.xlsx]Sheet1!$A$2:$A$12</c:f>
              <c:strCache>
                <c:ptCount val="11"/>
                <c:pt idx="0">
                  <c:v>荔湾区</c:v>
                </c:pt>
                <c:pt idx="1">
                  <c:v>越秀区</c:v>
                </c:pt>
                <c:pt idx="2">
                  <c:v>海珠区</c:v>
                </c:pt>
                <c:pt idx="3">
                  <c:v>天河区</c:v>
                </c:pt>
                <c:pt idx="4">
                  <c:v>白云区</c:v>
                </c:pt>
                <c:pt idx="5">
                  <c:v>黄埔区</c:v>
                </c:pt>
                <c:pt idx="6">
                  <c:v>番禺区</c:v>
                </c:pt>
                <c:pt idx="7">
                  <c:v>花都区</c:v>
                </c:pt>
                <c:pt idx="8">
                  <c:v>南沙区</c:v>
                </c:pt>
                <c:pt idx="9">
                  <c:v>从化区</c:v>
                </c:pt>
                <c:pt idx="10">
                  <c:v>增城区</c:v>
                </c:pt>
              </c:strCache>
            </c:strRef>
          </c:cat>
          <c:val>
            <c:numRef>
              <c:f>[解读图表2.xlsx]Sheet1!$B$2:$B$12</c:f>
              <c:numCache>
                <c:formatCode>General</c:formatCode>
                <c:ptCount val="11"/>
                <c:pt idx="0">
                  <c:v>33.52</c:v>
                </c:pt>
                <c:pt idx="1">
                  <c:v>99.59</c:v>
                </c:pt>
                <c:pt idx="2">
                  <c:v>68.3</c:v>
                </c:pt>
                <c:pt idx="3">
                  <c:v>226.31</c:v>
                </c:pt>
                <c:pt idx="4">
                  <c:v>114.65</c:v>
                </c:pt>
                <c:pt idx="5">
                  <c:v>91.99</c:v>
                </c:pt>
                <c:pt idx="6">
                  <c:v>96.35</c:v>
                </c:pt>
                <c:pt idx="7">
                  <c:v>52.76</c:v>
                </c:pt>
                <c:pt idx="8">
                  <c:v>48.17</c:v>
                </c:pt>
                <c:pt idx="9">
                  <c:v>17.23</c:v>
                </c:pt>
                <c:pt idx="10">
                  <c:v>39.64</c:v>
                </c:pt>
              </c:numCache>
            </c:numRef>
          </c:val>
          <c:smooth val="0"/>
        </c:ser>
        <c:ser>
          <c:idx val="1"/>
          <c:order val="1"/>
          <c:tx>
            <c:strRef>
              <c:f>[解读图表2.xlsx]Sheet1!$C$1</c:f>
              <c:strCache>
                <c:ptCount val="1"/>
                <c:pt idx="0">
                  <c:v>2013年末</c:v>
                </c:pt>
              </c:strCache>
            </c:strRef>
          </c:tx>
          <c:spPr>
            <a:ln w="28575" cap="rnd" cmpd="sng" algn="ctr">
              <a:solidFill>
                <a:srgbClr val="C0504D"/>
              </a:solidFill>
              <a:prstDash val="solid"/>
              <a:round/>
            </a:ln>
            <a:effectLst/>
          </c:spPr>
          <c:marker>
            <c:symbol val="none"/>
          </c:marker>
          <c:dLbls>
            <c:dLbl>
              <c:idx val="0"/>
              <c:layout>
                <c:manualLayout>
                  <c:x val="-0.00208333333333334"/>
                  <c:y val="0.024305555555555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04166666666667"/>
                  <c:y val="-0.0312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208333333333334"/>
                  <c:y val="0.020833333333333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045138888888888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052083333333333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104166666666667"/>
                  <c:y val="0.0312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208333333333334"/>
                  <c:y val="0.0495214099997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0416666666666667"/>
                  <c:y val="0.076388888888888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0585937500000001"/>
                  <c:y val="0.034168564920273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0625000000000001"/>
                  <c:y val="0.024305555555555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0416666666666667"/>
                  <c:y val="-0.048611111111111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cap="none" spc="0" normalizeH="0" baseline="0">
                    <a:solidFill>
                      <a:srgbClr val="C0504D"/>
                    </a:solidFill>
                    <a:uFill>
                      <a:solidFill>
                        <a:srgbClr val="404040">
                          <a:lumMod val="75000"/>
                          <a:lumOff val="25000"/>
                        </a:srgbClr>
                      </a:solidFill>
                    </a:u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[解读图表2.xlsx]Sheet1!$A$2:$A$12</c:f>
              <c:strCache>
                <c:ptCount val="11"/>
                <c:pt idx="0">
                  <c:v>荔湾区</c:v>
                </c:pt>
                <c:pt idx="1">
                  <c:v>越秀区</c:v>
                </c:pt>
                <c:pt idx="2">
                  <c:v>海珠区</c:v>
                </c:pt>
                <c:pt idx="3">
                  <c:v>天河区</c:v>
                </c:pt>
                <c:pt idx="4">
                  <c:v>白云区</c:v>
                </c:pt>
                <c:pt idx="5">
                  <c:v>黄埔区</c:v>
                </c:pt>
                <c:pt idx="6">
                  <c:v>番禺区</c:v>
                </c:pt>
                <c:pt idx="7">
                  <c:v>花都区</c:v>
                </c:pt>
                <c:pt idx="8">
                  <c:v>南沙区</c:v>
                </c:pt>
                <c:pt idx="9">
                  <c:v>从化区</c:v>
                </c:pt>
                <c:pt idx="10">
                  <c:v>增城区</c:v>
                </c:pt>
              </c:strCache>
            </c:strRef>
          </c:cat>
          <c:val>
            <c:numRef>
              <c:f>[解读图表2.xlsx]Sheet1!$C$2:$C$12</c:f>
              <c:numCache>
                <c:formatCode>General</c:formatCode>
                <c:ptCount val="11"/>
                <c:pt idx="0">
                  <c:v>29.23</c:v>
                </c:pt>
                <c:pt idx="1">
                  <c:v>101.6</c:v>
                </c:pt>
                <c:pt idx="2">
                  <c:v>56.45</c:v>
                </c:pt>
                <c:pt idx="3">
                  <c:v>118.13</c:v>
                </c:pt>
                <c:pt idx="4">
                  <c:v>77.98</c:v>
                </c:pt>
                <c:pt idx="5">
                  <c:v>79.49</c:v>
                </c:pt>
                <c:pt idx="6">
                  <c:v>82.9</c:v>
                </c:pt>
                <c:pt idx="7">
                  <c:v>46.05</c:v>
                </c:pt>
                <c:pt idx="8">
                  <c:v>29.22</c:v>
                </c:pt>
                <c:pt idx="9">
                  <c:v>16.59</c:v>
                </c:pt>
                <c:pt idx="10">
                  <c:v>41.22</c:v>
                </c:pt>
              </c:numCache>
            </c:numRef>
          </c:val>
          <c:smooth val="0"/>
        </c:ser>
        <c:dLbls>
          <c:showLegendKey val="0"/>
          <c:showVal val="1"/>
          <c:showCatName val="0"/>
          <c:showSerName val="0"/>
          <c:showPercent val="0"/>
          <c:showBubbleSize val="0"/>
        </c:dLbls>
        <c:marker val="0"/>
        <c:smooth val="0"/>
        <c:axId val="425317120"/>
        <c:axId val="425709568"/>
      </c:lineChart>
      <c:catAx>
        <c:axId val="425317120"/>
        <c:scaling>
          <c:orientation val="minMax"/>
        </c:scaling>
        <c:delete val="0"/>
        <c:axPos val="b"/>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425709568"/>
        <c:crosses val="autoZero"/>
        <c:auto val="1"/>
        <c:lblAlgn val="ctr"/>
        <c:lblOffset val="100"/>
        <c:noMultiLvlLbl val="0"/>
      </c:catAx>
      <c:valAx>
        <c:axId val="425709568"/>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42531712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2020-04-17T01:12:00Z</dcterms:created>
  <dc:creator>董曼虹</dc:creator>
  <cp:lastModifiedBy>曼虹</cp:lastModifiedBy>
  <dcterms:modified xsi:type="dcterms:W3CDTF">2020-04-24T03:03:12Z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